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[Слайд1] </w:t>
      </w:r>
      <w:r>
        <w:rPr>
          <w:sz w:val="32"/>
          <w:szCs w:val="32"/>
        </w:rPr>
        <w:t xml:space="preserve">Добрый день, уважаемый участники!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Отдел оперативного реагирования осуществляет экологический контроль в части состояния водных объектов, обращения с отходами производства и потребления.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Кроме того, в 2024 году отделом проводилась ранее несвойственная министерству работа, о которой расскажу позднее.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[Слайд2]</w:t>
      </w:r>
      <w:r>
        <w:rPr>
          <w:sz w:val="32"/>
          <w:szCs w:val="32"/>
        </w:rPr>
        <w:t xml:space="preserve"> В первую очередь отмечу, что в 2024 году удалось выполнить запланированное в начале года. </w:t>
      </w:r>
      <w:r>
        <w:rPr>
          <w:sz w:val="32"/>
          <w:szCs w:val="32"/>
          <w:highlight w:val="cyan"/>
        </w:rPr>
        <w:t xml:space="preserve">(ЦЕЛИ НА 2024)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(Слайд3)</w:t>
      </w:r>
      <w:r>
        <w:rPr>
          <w:sz w:val="32"/>
          <w:szCs w:val="32"/>
        </w:rPr>
        <w:t xml:space="preserve"> Как было задумано, благодаря совместным усилиям с Минцифрой расширился перечень «болевых» точек – мест сброса отходов, находящихся под пристальным взором. 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Если начинали мы c установки камер фиксации на 1 месте, то сейчас их уже 7, а установленных камер - 18.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sz w:val="32"/>
          <w:szCs w:val="32"/>
          <w:highlight w:val="cyan"/>
        </w:rPr>
        <w:t xml:space="preserve">(Слайд4)</w:t>
      </w:r>
      <w:r>
        <w:rPr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 xml:space="preserve">Следующей нашей целью было продолжить активную работу по пресечению нарушений при обращении со строительными отходами.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Как и годом ранее продолжили совместную работу с мэрией города Новосибирска по «отработке» вывоза отходов с территорий сноса капитальных объектов. В 2024 году поступило 145 таких уведомлений.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Нарушений не выявлено.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  <w:highlight w:val="cyan"/>
        </w:rPr>
        <w:t xml:space="preserve">(Слайд5)</w:t>
      </w:r>
      <w:r>
        <w:rPr>
          <w:rFonts w:eastAsia="Calibri"/>
          <w:sz w:val="32"/>
          <w:szCs w:val="32"/>
        </w:rPr>
        <w:t xml:space="preserve"> Кроме того, министерством с выездом на место изучен опыт Московской области по борьбе с такими отходами.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Надеемся, рассматриваемый в настоящее время законопроект, позволяющий регионам регулировать эти отношения, в скором времени будет принят и мы полноценно воплотим систему видеоконтроля за строительными отходами.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  <w:highlight w:val="cyan"/>
        </w:rPr>
        <w:t xml:space="preserve">(Слайд6)</w:t>
      </w:r>
      <w:r>
        <w:rPr>
          <w:rFonts w:eastAsia="Calibri"/>
          <w:sz w:val="32"/>
          <w:szCs w:val="32"/>
        </w:rPr>
        <w:t xml:space="preserve"> Непросто далась реализация 3 задачи.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Её воплощение осложнилось как большим количество требуемых участников, так и необходимостью учета социальных последствий наших действий.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Несмотря на некоторые препоны, совместно с мэрией города Новосибирска и МП «Метро МиР» внедряется практика по тампонированию несанкционированных выпусков в реки.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  <w:highlight w:val="cyan"/>
        </w:rPr>
        <w:t xml:space="preserve">(Слайд7)</w:t>
      </w:r>
      <w:r>
        <w:rPr>
          <w:rFonts w:eastAsia="Calibri"/>
          <w:sz w:val="32"/>
          <w:szCs w:val="32"/>
        </w:rPr>
        <w:t xml:space="preserve"> Положительным результатом работы, созданной для реализации вышеназванной цели рабочей группы, стало совместное обследование малых рек города и последующая подготовка мэрией плана действий по искоренению фактов самозахвата земель вдоль водных объектов.</w:t>
      </w:r>
      <w:r>
        <w:rPr>
          <w:rFonts w:eastAsia="Calibri"/>
          <w:sz w:val="32"/>
          <w:szCs w:val="32"/>
        </w:rPr>
      </w:r>
      <w:r>
        <w:rPr>
          <w:rFonts w:eastAsia="Calibri"/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rFonts w:eastAsia="Calibri"/>
          <w:sz w:val="32"/>
          <w:szCs w:val="32"/>
          <w:highlight w:val="cyan"/>
        </w:rPr>
        <w:t xml:space="preserve">(Слайд8)</w:t>
      </w:r>
      <w:r>
        <w:rPr>
          <w:rFonts w:eastAsia="Calibri"/>
          <w:sz w:val="32"/>
          <w:szCs w:val="32"/>
        </w:rPr>
        <w:t xml:space="preserve"> Помимо инициативной работы министерства сотрудники отдела реагировали на сообщения </w:t>
      </w:r>
      <w:r>
        <w:rPr>
          <w:rFonts w:eastAsia="Calibri"/>
          <w:sz w:val="32"/>
          <w:szCs w:val="32"/>
        </w:rPr>
        <w:t xml:space="preserve">граждан о</w:t>
      </w:r>
      <w:r>
        <w:rPr>
          <w:rFonts w:eastAsia="Calibri"/>
          <w:sz w:val="32"/>
          <w:szCs w:val="32"/>
        </w:rPr>
        <w:t xml:space="preserve"> различных экологических проблемах.</w:t>
      </w:r>
      <w:r>
        <w:rPr>
          <w:sz w:val="32"/>
          <w:szCs w:val="32"/>
        </w:rPr>
        <w:t xml:space="preserve"> В 2024 году в отделе рассмотрено более 1000 обращений и сообщений.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[Слайд9]</w:t>
      </w:r>
      <w:r>
        <w:rPr>
          <w:sz w:val="32"/>
          <w:szCs w:val="32"/>
        </w:rPr>
        <w:t xml:space="preserve"> Каждый сигнал граждан отрабатывался через контрольно-надзорные мероприятия – либо выездные, либо дистанционные, если объем представленных материалов это позволял.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 2024 году их проведено более 400.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[Слайд10]</w:t>
      </w:r>
      <w:r>
        <w:rPr>
          <w:sz w:val="32"/>
          <w:szCs w:val="32"/>
        </w:rPr>
        <w:t xml:space="preserve"> Формальным результатом работы стало объявление 509 предостережений, проведение 119 информирований.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Однако отмечу именно фактический результат наших стараний.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По инициативе министерства, доведенной до ответственных лиц в различных форматах, убрана территория более 89,8 тысяч кв.м., что вдвое больше чем годом ранее (40,5). Для наглядности – это более 12 футбольных полей.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Кроме того, удалось добиться законности при использовании 5 выпусков сточных вод. Это конечно не много, но начало положено, будем совершенствовать эту работу.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  <w:highlight w:val="cyan"/>
        </w:rPr>
        <w:t xml:space="preserve">(Слайд11)</w:t>
      </w:r>
      <w:r>
        <w:rPr>
          <w:sz w:val="32"/>
          <w:szCs w:val="32"/>
        </w:rPr>
        <w:t xml:space="preserve"> Широкое применение в 2024 году получила практика проведения профилактических визитов хозяйству</w:t>
      </w:r>
      <w:bookmarkStart w:id="0" w:name="_GoBack"/>
      <w:r/>
      <w:bookmarkEnd w:id="0"/>
      <w:r>
        <w:rPr>
          <w:sz w:val="32"/>
          <w:szCs w:val="32"/>
        </w:rPr>
        <w:t xml:space="preserve">ющих субъектов. Их проведено </w:t>
      </w:r>
      <w:r>
        <w:rPr>
          <w:sz w:val="32"/>
          <w:szCs w:val="32"/>
        </w:rPr>
        <w:t xml:space="preserve">48</w:t>
      </w:r>
      <w:r>
        <w:rPr>
          <w:sz w:val="32"/>
          <w:szCs w:val="32"/>
        </w:rPr>
        <w:t xml:space="preserve">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Типичными недостатками, выявленными </w:t>
      </w:r>
      <w:r>
        <w:rPr>
          <w:sz w:val="32"/>
          <w:szCs w:val="32"/>
        </w:rPr>
        <w:t xml:space="preserve">в ходе таких мероприятий стало: </w:t>
      </w:r>
      <w:r>
        <w:rPr>
          <w:sz w:val="32"/>
          <w:szCs w:val="32"/>
        </w:rPr>
        <w:t xml:space="preserve">- отсутствие подготовки в области охраны </w:t>
      </w:r>
      <w:r>
        <w:rPr>
          <w:sz w:val="32"/>
          <w:szCs w:val="32"/>
        </w:rPr>
        <w:t xml:space="preserve">окружающей среды и экологической безопасности у руководителей организаций и специалистов, ответственных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среду;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- отсутствие паспортизации отходов I - IV классов опасности;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- отсутствие ведения учета в области обращения с отходами;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- отсутствие договора на оказание услуг со специализированным организациями по обращению с отходами производства и потребления, не отнесенными к ТКО.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  <w:highlight w:val="cyan"/>
        </w:rPr>
        <w:t xml:space="preserve">[Слайд12]</w:t>
      </w:r>
      <w:r>
        <w:rPr>
          <w:sz w:val="32"/>
          <w:szCs w:val="32"/>
        </w:rPr>
        <w:t xml:space="preserve"> Несмотря на все профилактические меры, без наказаний тоже не обошлось. </w:t>
      </w:r>
      <w:r>
        <w:rPr>
          <w:sz w:val="32"/>
          <w:szCs w:val="32"/>
        </w:rPr>
        <w:t xml:space="preserve">69</w:t>
      </w:r>
      <w:r>
        <w:rPr>
          <w:sz w:val="32"/>
          <w:szCs w:val="32"/>
        </w:rPr>
        <w:t xml:space="preserve"> лиц в 2024 году привлечены к административной ответственности за нарушения требований водного законодательства либо при обращении с отходами, на общую сумму штрафов более </w:t>
      </w:r>
      <w:r>
        <w:rPr>
          <w:sz w:val="32"/>
          <w:szCs w:val="32"/>
        </w:rPr>
        <w:t xml:space="preserve">1,5 млн</w:t>
      </w:r>
      <w:r>
        <w:rPr>
          <w:sz w:val="32"/>
          <w:szCs w:val="32"/>
        </w:rPr>
        <w:t xml:space="preserve">. руб. (</w:t>
      </w:r>
      <w:r>
        <w:rPr>
          <w:sz w:val="32"/>
          <w:szCs w:val="32"/>
        </w:rPr>
        <w:t xml:space="preserve">1594</w:t>
      </w:r>
      <w:r>
        <w:rPr>
          <w:sz w:val="32"/>
          <w:szCs w:val="32"/>
        </w:rPr>
        <w:t xml:space="preserve"> тыс. руб.), большая часть которых оплачена с применением льготы в 50% за оперативность оплаты.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  <w:highlight w:val="cyan"/>
        </w:rPr>
        <w:t xml:space="preserve">[Слайд1</w:t>
      </w:r>
      <w:r>
        <w:rPr>
          <w:sz w:val="32"/>
          <w:szCs w:val="32"/>
          <w:highlight w:val="cyan"/>
        </w:rPr>
        <w:t xml:space="preserve">3</w:t>
      </w:r>
      <w:r>
        <w:rPr>
          <w:sz w:val="32"/>
          <w:szCs w:val="32"/>
          <w:highlight w:val="cyan"/>
        </w:rPr>
        <w:t xml:space="preserve">]</w:t>
      </w:r>
      <w:r>
        <w:rPr>
          <w:sz w:val="32"/>
          <w:szCs w:val="32"/>
        </w:rPr>
        <w:t xml:space="preserve"> Как я сказал в </w:t>
      </w:r>
      <w:r>
        <w:rPr>
          <w:sz w:val="32"/>
          <w:szCs w:val="32"/>
        </w:rPr>
        <w:t xml:space="preserve">самом начале в 2024 году отделу пришлось выполнять новую несвойственную задачу – организовывать взаимодействий с научными учреждениями для выявления источников влияния на подземные воды Коченевского района.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Несмотря на большой объем уже проведенных мероприятий, работа находится еще на начальном этапе сбора сведений и будет продолжена до логического завершения.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  <w:highlight w:val="cyan"/>
        </w:rPr>
        <w:t xml:space="preserve">[Слайд1</w:t>
      </w:r>
      <w:r>
        <w:rPr>
          <w:sz w:val="32"/>
          <w:szCs w:val="32"/>
          <w:highlight w:val="cyan"/>
        </w:rPr>
        <w:t xml:space="preserve">4</w:t>
      </w:r>
      <w:r>
        <w:rPr>
          <w:sz w:val="32"/>
          <w:szCs w:val="32"/>
          <w:highlight w:val="cyan"/>
        </w:rPr>
        <w:t xml:space="preserve">] </w:t>
      </w:r>
      <w:r>
        <w:rPr>
          <w:sz w:val="32"/>
          <w:szCs w:val="32"/>
        </w:rPr>
        <w:t xml:space="preserve">В текущем году мы не будем останавливаться на достигнутых результатах и ставим перед собой следующие цели и задачи: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1. Формирование практики привлечения к административной ответственности непосредственно на месте выявления нарушения без составления протокола.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2. Использование новых технологий – потенциала космоснимков для выявления мест несанкционированного размещения отходов и незаконного пользования акваториями водных объектов.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3. Корректировка регионального законодательства в целях стимулирования добросовестности контролируемых лиц.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2"/>
          <w:szCs w:val="32"/>
        </w:rPr>
        <w:t xml:space="preserve">Благодарю за внимание!</w:t>
      </w:r>
      <w:r>
        <w:rPr>
          <w:sz w:val="32"/>
          <w:szCs w:val="32"/>
        </w:rPr>
      </w:r>
      <w:r>
        <w:rPr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567" w:bottom="1106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75" w:hanging="1275"/>
        <w:tabs>
          <w:tab w:val="num" w:pos="127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5" w:hanging="1275"/>
        <w:tabs>
          <w:tab w:val="num" w:pos="198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409" w:hanging="1275"/>
        <w:tabs>
          <w:tab w:val="num" w:pos="2409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76" w:hanging="1275"/>
        <w:tabs>
          <w:tab w:val="num" w:pos="2976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543" w:hanging="1275"/>
        <w:tabs>
          <w:tab w:val="num" w:pos="3543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10" w:hanging="1275"/>
        <w:tabs>
          <w:tab w:val="num" w:pos="411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484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5409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6336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  <w:tabs>
          <w:tab w:val="num" w:pos="141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  <w:tabs>
          <w:tab w:val="num" w:pos="128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pPr>
      <w:jc w:val="both"/>
    </w:pPr>
    <w:rPr>
      <w:sz w:val="28"/>
      <w:szCs w:val="28"/>
    </w:rPr>
  </w:style>
  <w:style w:type="paragraph" w:styleId="688">
    <w:name w:val="Heading 1"/>
    <w:basedOn w:val="687"/>
    <w:next w:val="687"/>
    <w:link w:val="900"/>
    <w:qFormat/>
    <w:pPr>
      <w:keepNext/>
      <w:tabs>
        <w:tab w:val="left" w:pos="2268" w:leader="none"/>
      </w:tabs>
      <w:outlineLvl w:val="0"/>
    </w:pPr>
    <w:rPr>
      <w:rFonts w:ascii="Arial" w:hAnsi="Arial" w:cs="Arial"/>
      <w:color w:val="000000"/>
      <w:sz w:val="24"/>
      <w:szCs w:val="24"/>
    </w:rPr>
  </w:style>
  <w:style w:type="paragraph" w:styleId="689">
    <w:name w:val="Heading 2"/>
    <w:basedOn w:val="687"/>
    <w:next w:val="687"/>
    <w:link w:val="896"/>
    <w:qFormat/>
    <w:pPr>
      <w:jc w:val="center"/>
      <w:keepNext/>
      <w:outlineLvl w:val="1"/>
    </w:pPr>
    <w:rPr>
      <w:b/>
      <w:bCs/>
      <w:sz w:val="26"/>
      <w:szCs w:val="26"/>
    </w:rPr>
  </w:style>
  <w:style w:type="paragraph" w:styleId="690">
    <w:name w:val="Heading 3"/>
    <w:basedOn w:val="687"/>
    <w:next w:val="687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911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92">
    <w:name w:val="Heading 5"/>
    <w:basedOn w:val="687"/>
    <w:next w:val="687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7"/>
    <w:uiPriority w:val="10"/>
    <w:rPr>
      <w:sz w:val="48"/>
      <w:szCs w:val="48"/>
    </w:rPr>
  </w:style>
  <w:style w:type="character" w:styleId="707" w:customStyle="1">
    <w:name w:val="Subtitle Char"/>
    <w:basedOn w:val="697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Caption Char"/>
    <w:uiPriority w:val="99"/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7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4">
    <w:name w:val="Title"/>
    <w:basedOn w:val="687"/>
    <w:next w:val="687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link w:val="724"/>
    <w:uiPriority w:val="10"/>
    <w:rPr>
      <w:sz w:val="48"/>
      <w:szCs w:val="48"/>
    </w:rPr>
  </w:style>
  <w:style w:type="paragraph" w:styleId="726">
    <w:name w:val="Subtitle"/>
    <w:basedOn w:val="687"/>
    <w:next w:val="687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link w:val="726"/>
    <w:uiPriority w:val="11"/>
    <w:rPr>
      <w:sz w:val="24"/>
      <w:szCs w:val="24"/>
    </w:rPr>
  </w:style>
  <w:style w:type="paragraph" w:styleId="728">
    <w:name w:val="Quote"/>
    <w:basedOn w:val="687"/>
    <w:next w:val="687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7"/>
    <w:next w:val="687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687"/>
    <w:link w:val="891"/>
    <w:pPr>
      <w:tabs>
        <w:tab w:val="center" w:pos="4677" w:leader="none"/>
        <w:tab w:val="right" w:pos="9355" w:leader="none"/>
      </w:tabs>
    </w:pPr>
  </w:style>
  <w:style w:type="character" w:styleId="733" w:customStyle="1">
    <w:name w:val="Header Char"/>
    <w:uiPriority w:val="99"/>
  </w:style>
  <w:style w:type="paragraph" w:styleId="734">
    <w:name w:val="Footer"/>
    <w:basedOn w:val="687"/>
    <w:link w:val="737"/>
    <w:pPr>
      <w:tabs>
        <w:tab w:val="center" w:pos="4677" w:leader="none"/>
        <w:tab w:val="right" w:pos="9355" w:leader="none"/>
      </w:tabs>
    </w:pPr>
  </w:style>
  <w:style w:type="character" w:styleId="735" w:customStyle="1">
    <w:name w:val="Footer Char"/>
    <w:uiPriority w:val="99"/>
  </w:style>
  <w:style w:type="paragraph" w:styleId="73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7" w:customStyle="1">
    <w:name w:val="Нижний колонтитул Знак"/>
    <w:link w:val="734"/>
    <w:uiPriority w:val="99"/>
  </w:style>
  <w:style w:type="table" w:styleId="738">
    <w:name w:val="Table Grid"/>
    <w:basedOn w:val="698"/>
    <w:uiPriority w:val="59"/>
    <w:tblPr/>
  </w:style>
  <w:style w:type="table" w:styleId="7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4">
    <w:name w:val="Hyperlink"/>
    <w:uiPriority w:val="99"/>
    <w:rPr>
      <w:color w:val="0000ff"/>
      <w:u w:val="single"/>
    </w:rPr>
  </w:style>
  <w:style w:type="paragraph" w:styleId="865">
    <w:name w:val="footnote text"/>
    <w:basedOn w:val="687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687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687"/>
    <w:next w:val="687"/>
    <w:uiPriority w:val="39"/>
    <w:unhideWhenUsed/>
    <w:pPr>
      <w:spacing w:after="57"/>
    </w:pPr>
  </w:style>
  <w:style w:type="paragraph" w:styleId="872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3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4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5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6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7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8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9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  <w:rPr>
      <w:lang w:eastAsia="zh-CN"/>
    </w:rPr>
  </w:style>
  <w:style w:type="paragraph" w:styleId="881">
    <w:name w:val="table of figures"/>
    <w:basedOn w:val="687"/>
    <w:next w:val="687"/>
    <w:uiPriority w:val="99"/>
    <w:unhideWhenUsed/>
  </w:style>
  <w:style w:type="paragraph" w:styleId="882" w:customStyle="1">
    <w:name w:val="Название;Знак3"/>
    <w:basedOn w:val="687"/>
    <w:link w:val="904"/>
    <w:qFormat/>
    <w:pPr>
      <w:jc w:val="center"/>
    </w:pPr>
    <w:rPr>
      <w:rFonts w:ascii="Arial" w:hAnsi="Arial" w:cs="Arial"/>
      <w:sz w:val="24"/>
      <w:szCs w:val="24"/>
    </w:rPr>
  </w:style>
  <w:style w:type="character" w:styleId="883">
    <w:name w:val="FollowedHyperlink"/>
    <w:rPr>
      <w:color w:val="800080"/>
      <w:u w:val="single"/>
    </w:rPr>
  </w:style>
  <w:style w:type="paragraph" w:styleId="884">
    <w:name w:val="Body Text"/>
    <w:basedOn w:val="687"/>
    <w:link w:val="897"/>
    <w:pPr>
      <w:jc w:val="center"/>
    </w:pPr>
    <w:rPr>
      <w:b/>
      <w:bCs/>
      <w:sz w:val="27"/>
      <w:szCs w:val="27"/>
    </w:rPr>
  </w:style>
  <w:style w:type="paragraph" w:styleId="885">
    <w:name w:val="Body Text Indent"/>
    <w:basedOn w:val="687"/>
    <w:link w:val="905"/>
    <w:pPr>
      <w:ind w:firstLine="709"/>
    </w:pPr>
  </w:style>
  <w:style w:type="paragraph" w:styleId="886">
    <w:name w:val="Balloon Text"/>
    <w:basedOn w:val="687"/>
    <w:link w:val="887"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link w:val="886"/>
    <w:rPr>
      <w:rFonts w:ascii="Tahoma" w:hAnsi="Tahoma" w:cs="Tahoma"/>
      <w:sz w:val="16"/>
      <w:szCs w:val="16"/>
    </w:rPr>
  </w:style>
  <w:style w:type="paragraph" w:styleId="888">
    <w:name w:val="Document Map"/>
    <w:basedOn w:val="687"/>
    <w:link w:val="889"/>
    <w:rPr>
      <w:rFonts w:ascii="Tahoma" w:hAnsi="Tahoma" w:cs="Tahoma"/>
      <w:sz w:val="16"/>
      <w:szCs w:val="16"/>
    </w:rPr>
  </w:style>
  <w:style w:type="character" w:styleId="889" w:customStyle="1">
    <w:name w:val="Схема документа Знак"/>
    <w:link w:val="888"/>
    <w:rPr>
      <w:rFonts w:ascii="Tahoma" w:hAnsi="Tahoma" w:cs="Tahoma"/>
      <w:sz w:val="16"/>
      <w:szCs w:val="16"/>
    </w:rPr>
  </w:style>
  <w:style w:type="paragraph" w:styleId="890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91" w:customStyle="1">
    <w:name w:val="Верхний колонтитул Знак"/>
    <w:link w:val="732"/>
    <w:rPr>
      <w:sz w:val="28"/>
      <w:szCs w:val="28"/>
    </w:rPr>
  </w:style>
  <w:style w:type="paragraph" w:styleId="892" w:customStyle="1">
    <w:name w:val="ConsPlusNonformat"/>
    <w:uiPriority w:val="99"/>
    <w:rPr>
      <w:rFonts w:ascii="Courier New" w:hAnsi="Courier New" w:cs="Courier New"/>
    </w:rPr>
  </w:style>
  <w:style w:type="paragraph" w:styleId="893" w:customStyle="1">
    <w:name w:val="ConsPlusTitle"/>
    <w:uiPriority w:val="99"/>
    <w:rPr>
      <w:b/>
      <w:bCs/>
      <w:sz w:val="24"/>
      <w:szCs w:val="24"/>
    </w:rPr>
  </w:style>
  <w:style w:type="paragraph" w:styleId="894">
    <w:name w:val="Body Text Indent 3"/>
    <w:basedOn w:val="687"/>
    <w:link w:val="895"/>
    <w:pPr>
      <w:ind w:left="283"/>
      <w:spacing w:after="120"/>
    </w:pPr>
    <w:rPr>
      <w:sz w:val="16"/>
      <w:szCs w:val="16"/>
    </w:rPr>
  </w:style>
  <w:style w:type="character" w:styleId="895" w:customStyle="1">
    <w:name w:val="Основной текст с отступом 3 Знак"/>
    <w:link w:val="894"/>
    <w:rPr>
      <w:sz w:val="16"/>
      <w:szCs w:val="16"/>
    </w:rPr>
  </w:style>
  <w:style w:type="character" w:styleId="896" w:customStyle="1">
    <w:name w:val="Заголовок 2 Знак"/>
    <w:link w:val="689"/>
    <w:rPr>
      <w:b/>
      <w:bCs/>
      <w:sz w:val="26"/>
      <w:szCs w:val="26"/>
    </w:rPr>
  </w:style>
  <w:style w:type="character" w:styleId="897" w:customStyle="1">
    <w:name w:val="Основной текст Знак"/>
    <w:link w:val="884"/>
    <w:rPr>
      <w:b/>
      <w:bCs/>
      <w:sz w:val="27"/>
      <w:szCs w:val="27"/>
    </w:rPr>
  </w:style>
  <w:style w:type="paragraph" w:styleId="898" w:customStyle="1">
    <w:name w:val="Heading"/>
    <w:rPr>
      <w:rFonts w:ascii="Arial" w:hAnsi="Arial" w:cs="Arial"/>
      <w:b/>
      <w:bCs/>
      <w:sz w:val="22"/>
      <w:szCs w:val="22"/>
    </w:rPr>
  </w:style>
  <w:style w:type="character" w:styleId="899" w:customStyle="1">
    <w:name w:val="label"/>
    <w:basedOn w:val="697"/>
  </w:style>
  <w:style w:type="character" w:styleId="900" w:customStyle="1">
    <w:name w:val="Заголовок 1 Знак"/>
    <w:link w:val="688"/>
    <w:rPr>
      <w:rFonts w:ascii="Arial" w:hAnsi="Arial" w:cs="Arial"/>
      <w:color w:val="000000"/>
      <w:sz w:val="24"/>
      <w:szCs w:val="24"/>
    </w:rPr>
  </w:style>
  <w:style w:type="paragraph" w:styleId="901">
    <w:name w:val="Body Text Indent 2"/>
    <w:basedOn w:val="687"/>
    <w:link w:val="902"/>
    <w:pPr>
      <w:ind w:left="283"/>
      <w:spacing w:after="120" w:line="480" w:lineRule="auto"/>
    </w:pPr>
  </w:style>
  <w:style w:type="character" w:styleId="902" w:customStyle="1">
    <w:name w:val="Основной текст с отступом 2 Знак"/>
    <w:link w:val="901"/>
    <w:rPr>
      <w:sz w:val="28"/>
      <w:szCs w:val="28"/>
    </w:rPr>
  </w:style>
  <w:style w:type="paragraph" w:styleId="903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character" w:styleId="904" w:customStyle="1">
    <w:name w:val="Название Знак;Знак3 Знак"/>
    <w:link w:val="882"/>
    <w:rPr>
      <w:rFonts w:ascii="Arial" w:hAnsi="Arial" w:cs="Arial"/>
      <w:sz w:val="24"/>
      <w:szCs w:val="24"/>
    </w:rPr>
  </w:style>
  <w:style w:type="character" w:styleId="905" w:customStyle="1">
    <w:name w:val="Основной текст с отступом Знак"/>
    <w:link w:val="885"/>
    <w:rPr>
      <w:sz w:val="28"/>
      <w:szCs w:val="28"/>
    </w:rPr>
  </w:style>
  <w:style w:type="paragraph" w:styleId="906" w:customStyle="1">
    <w:name w:val="phnormal"/>
    <w:basedOn w:val="687"/>
    <w:uiPriority w:val="99"/>
    <w:pPr>
      <w:ind w:firstLine="851"/>
      <w:spacing w:before="120" w:line="360" w:lineRule="auto"/>
    </w:pPr>
    <w:rPr>
      <w:sz w:val="24"/>
      <w:szCs w:val="24"/>
    </w:rPr>
  </w:style>
  <w:style w:type="paragraph" w:styleId="907">
    <w:name w:val="Body Text 2"/>
    <w:basedOn w:val="687"/>
    <w:link w:val="908"/>
    <w:pPr>
      <w:jc w:val="center"/>
    </w:pPr>
    <w:rPr>
      <w:rFonts w:ascii="Times New Roman CYR" w:hAnsi="Times New Roman CYR"/>
      <w:sz w:val="24"/>
      <w:szCs w:val="20"/>
    </w:rPr>
  </w:style>
  <w:style w:type="character" w:styleId="908" w:customStyle="1">
    <w:name w:val="Основной текст 2 Знак"/>
    <w:link w:val="907"/>
    <w:rPr>
      <w:sz w:val="28"/>
      <w:szCs w:val="28"/>
    </w:rPr>
  </w:style>
  <w:style w:type="character" w:styleId="909" w:customStyle="1">
    <w:name w:val="apple-style-span"/>
    <w:basedOn w:val="697"/>
  </w:style>
  <w:style w:type="paragraph" w:styleId="910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11" w:customStyle="1">
    <w:name w:val="Заголовок 4 Знак"/>
    <w:link w:val="691"/>
    <w:semiHidden/>
    <w:rPr>
      <w:rFonts w:ascii="Calibri" w:hAnsi="Calibri"/>
      <w:b/>
      <w:bCs/>
      <w:sz w:val="28"/>
      <w:szCs w:val="28"/>
    </w:rPr>
  </w:style>
  <w:style w:type="paragraph" w:styleId="912" w:customStyle="1">
    <w:name w:val="Базовый"/>
    <w:pPr>
      <w:spacing w:line="200" w:lineRule="atLeast"/>
      <w:tabs>
        <w:tab w:val="left" w:pos="709" w:leader="none"/>
      </w:tabs>
    </w:pPr>
    <w:rPr>
      <w:sz w:val="24"/>
      <w:szCs w:val="24"/>
    </w:rPr>
  </w:style>
  <w:style w:type="character" w:styleId="913" w:customStyle="1">
    <w:name w:val="apple-converted-space"/>
    <w:basedOn w:val="697"/>
  </w:style>
  <w:style w:type="paragraph" w:styleId="914">
    <w:name w:val="Normal (Web)"/>
    <w:basedOn w:val="687"/>
    <w:uiPriority w:val="99"/>
    <w:unhideWhenUsed/>
    <w:pPr>
      <w:jc w:val="left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ЭРиП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Зинкина Татьяна И.</dc:creator>
  <cp:revision>26</cp:revision>
  <dcterms:created xsi:type="dcterms:W3CDTF">2025-02-10T08:01:00Z</dcterms:created>
  <dcterms:modified xsi:type="dcterms:W3CDTF">2025-02-24T08:41:13Z</dcterms:modified>
  <cp:version>1048576</cp:version>
</cp:coreProperties>
</file>