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1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УТВЕРЖДАЮ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Шестернин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(должность, фамилия, инициалы)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82" w:type="dxa"/>
        <w:tblInd w:w="-149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ПЛАН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противопожарного обустройства лесов на территории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Убин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ского лесничества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 период с 01 января 2024 г. по 31 января 2028 г.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</w:r>
            <w:r>
              <w:rPr>
                <w:color w:val="444444"/>
              </w:rPr>
            </w:r>
          </w:p>
        </w:tc>
      </w:tr>
      <w:tr>
        <w:tblPrEx/>
        <w:trPr>
          <w:trHeight w:val="1598"/>
        </w:trPr>
        <w:tc>
          <w:tcPr>
            <w:tcW w:w="9782" w:type="dxa"/>
            <w:textDirection w:val="lrTb"/>
            <w:noWrap w:val="false"/>
          </w:tcPr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pStyle w:val="639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Краткая характеристика лесничества</w:t>
            </w:r>
            <w:r>
              <w:rPr>
                <w:b/>
              </w:rPr>
            </w:r>
          </w:p>
          <w:p>
            <w:pPr>
              <w:pStyle w:val="642"/>
              <w:ind w:left="135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</w:r>
            <w:r>
              <w:rPr>
                <w:rFonts w:eastAsiaTheme="minorEastAsia"/>
                <w:b/>
              </w:rPr>
            </w: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1.1</w:t>
            </w:r>
            <w:r>
              <w:rPr>
                <w:rFonts w:eastAsiaTheme="minorEastAsia"/>
              </w:rPr>
              <w:t xml:space="preserve"> Общая характеристика лесов на территории лесничества Убинского лесничества.  </w:t>
            </w:r>
            <w:r>
              <w:rPr>
                <w:rFonts w:eastAsiaTheme="minorEastAsia"/>
              </w:rPr>
            </w:r>
          </w:p>
          <w:p>
            <w:pPr>
              <w:ind w:left="-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Убинское лесничество расположено в северной части Новосибирской области на территории Убинского административного района. С севера территория лесхоза граничит с Томской областью, с северо-запада граничит с Северным районом, с запада </w:t>
            </w:r>
            <w:r>
              <w:rPr>
                <w:rFonts w:eastAsiaTheme="minorEastAsia"/>
              </w:rPr>
              <w:t xml:space="preserve">с  Куйбышевским</w:t>
            </w:r>
            <w:r>
              <w:rPr>
                <w:rFonts w:eastAsiaTheme="minorEastAsia"/>
              </w:rPr>
              <w:t xml:space="preserve"> и Барабинским рай</w:t>
            </w:r>
            <w:r>
              <w:rPr>
                <w:rFonts w:eastAsiaTheme="minorEastAsia"/>
              </w:rPr>
              <w:t xml:space="preserve">онами</w:t>
            </w:r>
            <w:r>
              <w:rPr>
                <w:rFonts w:eastAsiaTheme="minorEastAsia"/>
              </w:rPr>
              <w:t xml:space="preserve"> в южной части с </w:t>
            </w:r>
            <w:r>
              <w:rPr>
                <w:rFonts w:eastAsiaTheme="minorEastAsia"/>
              </w:rPr>
              <w:t xml:space="preserve">Каргатским</w:t>
            </w:r>
            <w:r>
              <w:rPr>
                <w:rFonts w:eastAsiaTheme="minorEastAsia"/>
              </w:rPr>
              <w:t xml:space="preserve"> и </w:t>
            </w:r>
            <w:r>
              <w:rPr>
                <w:rFonts w:eastAsiaTheme="minorEastAsia"/>
              </w:rPr>
              <w:t xml:space="preserve">Чулымским</w:t>
            </w:r>
            <w:r>
              <w:rPr>
                <w:rFonts w:eastAsiaTheme="minorEastAsia"/>
              </w:rPr>
              <w:t xml:space="preserve"> районом, на  востоке  с </w:t>
            </w:r>
            <w:r>
              <w:rPr>
                <w:rFonts w:eastAsiaTheme="minorEastAsia"/>
              </w:rPr>
              <w:t xml:space="preserve">Колыванским</w:t>
            </w:r>
            <w:r>
              <w:rPr>
                <w:rFonts w:eastAsiaTheme="minorEastAsia"/>
              </w:rPr>
              <w:t xml:space="preserve"> районом. </w:t>
            </w:r>
            <w:r>
              <w:rPr>
                <w:rFonts w:eastAsiaTheme="minorEastAsia"/>
              </w:rPr>
            </w:r>
          </w:p>
          <w:p>
            <w:pPr>
              <w:ind w:left="-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Общая площадь территории Убинского лесничества по состоянию на 01.01.2024 г. составляет 900054,0 га., в том числе лесных земель 410297,0 га., и не лесных земель 489757,0 га. </w:t>
            </w:r>
            <w:r>
              <w:rPr>
                <w:rFonts w:eastAsiaTheme="minorEastAsia"/>
              </w:rPr>
            </w:r>
          </w:p>
          <w:p>
            <w:pPr>
              <w:ind w:left="-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Распределение территории лесничества по растительным зонам и лесным районам, следующие </w:t>
            </w:r>
            <w:r>
              <w:rPr>
                <w:rFonts w:eastAsiaTheme="minorEastAsia"/>
              </w:rPr>
              <w:t xml:space="preserve">Аникинский</w:t>
            </w:r>
            <w:r>
              <w:rPr>
                <w:rFonts w:eastAsiaTheme="minorEastAsia"/>
              </w:rPr>
              <w:t xml:space="preserve"> лесохозяйственный участок – 451235 га, </w:t>
            </w:r>
            <w:r>
              <w:rPr>
                <w:rFonts w:eastAsiaTheme="minorEastAsia"/>
              </w:rPr>
              <w:t xml:space="preserve">Лячинский</w:t>
            </w:r>
            <w:r>
              <w:rPr>
                <w:rFonts w:eastAsiaTheme="minorEastAsia"/>
              </w:rPr>
              <w:t xml:space="preserve"> лесохозяйственный участок – 325141 га, </w:t>
            </w:r>
            <w:r>
              <w:rPr>
                <w:rFonts w:eastAsiaTheme="minorEastAsia"/>
              </w:rPr>
              <w:t xml:space="preserve">Убинский</w:t>
            </w:r>
            <w:r>
              <w:rPr>
                <w:rFonts w:eastAsiaTheme="minorEastAsia"/>
              </w:rPr>
              <w:t xml:space="preserve"> лесохозяйственный участок №1 – 3786 га, </w:t>
            </w:r>
            <w:r>
              <w:rPr>
                <w:rFonts w:eastAsiaTheme="minorEastAsia"/>
              </w:rPr>
              <w:t xml:space="preserve">Убинский</w:t>
            </w:r>
            <w:r>
              <w:rPr>
                <w:rFonts w:eastAsiaTheme="minorEastAsia"/>
              </w:rPr>
              <w:t xml:space="preserve"> лесохозяйственный участок № 2 – 59893 га, </w:t>
            </w:r>
            <w:r>
              <w:rPr>
                <w:rFonts w:eastAsiaTheme="minorEastAsia"/>
              </w:rPr>
              <w:t xml:space="preserve">Черномысенский</w:t>
            </w:r>
            <w:r>
              <w:rPr>
                <w:rFonts w:eastAsiaTheme="minorEastAsia"/>
              </w:rPr>
              <w:t xml:space="preserve"> лесохозяйственный участок – 59999 га.  </w:t>
            </w:r>
            <w:r>
              <w:rPr>
                <w:rFonts w:eastAsiaTheme="minorEastAsia"/>
              </w:rPr>
            </w:r>
          </w:p>
          <w:p>
            <w:pPr>
              <w:ind w:left="-60"/>
              <w:rPr>
                <w:rFonts w:eastAsiaTheme="minorEastAsia"/>
                <w:bCs/>
                <w:iCs/>
              </w:rPr>
            </w:pPr>
            <w:r>
              <w:rPr>
                <w:rFonts w:eastAsiaTheme="minorEastAsia"/>
                <w:bCs/>
                <w:iCs/>
              </w:rPr>
              <w:t xml:space="preserve">Климат района расположения </w:t>
            </w:r>
            <w:r>
              <w:rPr>
                <w:rFonts w:eastAsiaTheme="minorEastAsia"/>
              </w:rPr>
              <w:t xml:space="preserve">лесничества резко-континентальный.</w:t>
            </w:r>
            <w:r>
              <w:rPr>
                <w:rFonts w:eastAsiaTheme="minorEastAsia"/>
                <w:bCs/>
                <w:iCs/>
              </w:rPr>
              <w:t xml:space="preserve"> Абсолютная максимальная температура </w:t>
            </w:r>
            <w:r>
              <w:rPr>
                <w:rFonts w:eastAsiaTheme="minorEastAsia"/>
                <w:bCs/>
                <w:iCs/>
              </w:rPr>
              <w:t xml:space="preserve">составляет  +</w:t>
            </w:r>
            <w:r>
              <w:rPr>
                <w:rFonts w:eastAsiaTheme="minorEastAsia"/>
                <w:bCs/>
                <w:iCs/>
              </w:rPr>
              <w:t xml:space="preserve">38,7 </w:t>
            </w:r>
            <w:r>
              <w:rPr>
                <w:rFonts w:eastAsiaTheme="minorEastAsia"/>
                <w:bCs/>
                <w:iCs/>
                <w:vertAlign w:val="superscript"/>
              </w:rPr>
              <w:t xml:space="preserve">0 </w:t>
            </w:r>
            <w:r>
              <w:rPr>
                <w:rFonts w:eastAsiaTheme="minorEastAsia"/>
                <w:bCs/>
                <w:iCs/>
              </w:rPr>
              <w:t xml:space="preserve">С, минимальная  -  43,5</w:t>
            </w:r>
            <w:r>
              <w:rPr>
                <w:rFonts w:eastAsiaTheme="minorEastAsia"/>
                <w:bCs/>
                <w:iCs/>
                <w:vertAlign w:val="superscript"/>
              </w:rPr>
              <w:t xml:space="preserve">0</w:t>
            </w:r>
            <w:r>
              <w:rPr>
                <w:rFonts w:eastAsiaTheme="minorEastAsia"/>
                <w:bCs/>
                <w:iCs/>
              </w:rPr>
              <w:t xml:space="preserve">С. Среднее количество осадков за год составляет 37</w:t>
            </w:r>
            <w:r>
              <w:rPr>
                <w:rFonts w:eastAsiaTheme="minorEastAsia"/>
                <w:bCs/>
                <w:iCs/>
              </w:rPr>
              <w:t xml:space="preserve">2 мм. Мощность снежного покрова, в среднем, составляет 145 см. В отдельные периоды почва промерзает до 120 см. В течение всего года преобладают ветры юго-западного направления. Рельеф расположения лесничества равнинный, и представляет собой низменное забол</w:t>
            </w:r>
            <w:r>
              <w:rPr>
                <w:rFonts w:eastAsiaTheme="minorEastAsia"/>
                <w:bCs/>
                <w:iCs/>
              </w:rPr>
              <w:t xml:space="preserve">оченное пространство с гривами и меж гривнами понижениями. Высота грив достигает 2-5 метров. Почвенный покров тесно связан с рельефом. На повышенных элементах рельефа распространены серые лесные почвы, чередующиеся с солодами, располагающимися в западинах </w:t>
            </w:r>
            <w:r>
              <w:rPr>
                <w:rFonts w:eastAsiaTheme="minorEastAsia"/>
                <w:bCs/>
                <w:iCs/>
              </w:rPr>
              <w:t xml:space="preserve">под пологом леса</w:t>
            </w:r>
            <w:r>
              <w:rPr>
                <w:rFonts w:eastAsiaTheme="minorEastAsia"/>
                <w:bCs/>
                <w:iCs/>
              </w:rPr>
              <w:t xml:space="preserve">. В бессточных низинах с высоким стоянием грунтовых вод, что связано с особенностями местной геоморфологии, присутствуют засолённые и солонцеватые почвенные разности практически непригодные для произрастания древесной растительности. </w:t>
            </w:r>
            <w:r>
              <w:rPr>
                <w:rFonts w:eastAsiaTheme="minorEastAsia"/>
                <w:bCs/>
                <w:iCs/>
              </w:rPr>
            </w: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соответствии с приказом Минсельхоза России от 4 февраля 2009 года № 37 «Об утверждении перечня лесорастительных зон и лесных районов Российской Федерации» территория лесничества отнесена к двум лесорастительным районам. Северная часть к Западно-</w:t>
            </w:r>
            <w:r>
              <w:rPr>
                <w:rFonts w:eastAsiaTheme="minorEastAsia"/>
              </w:rPr>
              <w:t xml:space="preserve">Сибирскому  южно</w:t>
            </w:r>
            <w:r>
              <w:rPr>
                <w:rFonts w:eastAsiaTheme="minorEastAsia"/>
              </w:rPr>
              <w:t xml:space="preserve">-таёжному равнинному району, таёжной лесорастительной зоны.  Южная часть </w:t>
            </w:r>
            <w:r>
              <w:rPr>
                <w:rFonts w:eastAsiaTheme="minorEastAsia"/>
              </w:rPr>
              <w:t xml:space="preserve">лесничества  относится</w:t>
            </w:r>
            <w:r>
              <w:rPr>
                <w:rFonts w:eastAsiaTheme="minorEastAsia"/>
              </w:rPr>
              <w:t xml:space="preserve"> к Западно-Сибирскому </w:t>
            </w:r>
            <w:r>
              <w:rPr>
                <w:rFonts w:eastAsiaTheme="minorEastAsia"/>
              </w:rPr>
              <w:t xml:space="preserve">подтаежно</w:t>
            </w:r>
            <w:r>
              <w:rPr>
                <w:rFonts w:eastAsiaTheme="minorEastAsia"/>
              </w:rPr>
              <w:t xml:space="preserve">-лесостепному лесному району, лесостепной лесорастительной зоны.   </w:t>
            </w:r>
            <w:r>
              <w:rPr>
                <w:rFonts w:eastAsiaTheme="minorEastAsia"/>
              </w:rPr>
            </w: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Лесистость Убинского административного района составляет 45,4 %. Территория лесничества расположена в бассейне реки </w:t>
            </w:r>
            <w:r>
              <w:rPr>
                <w:rFonts w:eastAsiaTheme="minorEastAsia"/>
              </w:rPr>
              <w:t xml:space="preserve">Омь</w:t>
            </w:r>
            <w:r>
              <w:rPr>
                <w:rFonts w:eastAsiaTheme="minorEastAsia"/>
              </w:rPr>
              <w:t xml:space="preserve">, являющейся правым притоком реки Иртыша. Наиболее крупным притоком реки </w:t>
            </w:r>
            <w:r>
              <w:rPr>
                <w:rFonts w:eastAsiaTheme="minorEastAsia"/>
              </w:rPr>
              <w:t xml:space="preserve">Омь</w:t>
            </w:r>
            <w:r>
              <w:rPr>
                <w:rFonts w:eastAsiaTheme="minorEastAsia"/>
              </w:rPr>
              <w:t xml:space="preserve">  являются</w:t>
            </w:r>
            <w:r>
              <w:rPr>
                <w:rFonts w:eastAsiaTheme="minorEastAsia"/>
              </w:rPr>
              <w:t xml:space="preserve">  р. </w:t>
            </w:r>
            <w:r>
              <w:rPr>
                <w:rFonts w:eastAsiaTheme="minorEastAsia"/>
              </w:rPr>
              <w:t xml:space="preserve">Ича</w:t>
            </w:r>
            <w:r>
              <w:rPr>
                <w:rFonts w:eastAsiaTheme="minorEastAsia"/>
              </w:rPr>
              <w:t xml:space="preserve">.  В </w:t>
            </w:r>
            <w:r>
              <w:rPr>
                <w:rFonts w:eastAsiaTheme="minorEastAsia"/>
              </w:rPr>
              <w:t xml:space="preserve">реку  </w:t>
            </w:r>
            <w:r>
              <w:rPr>
                <w:rFonts w:eastAsiaTheme="minorEastAsia"/>
              </w:rPr>
              <w:t xml:space="preserve">Омь</w:t>
            </w:r>
            <w:r>
              <w:rPr>
                <w:rFonts w:eastAsiaTheme="minorEastAsia"/>
              </w:rPr>
              <w:t xml:space="preserve">  впадают также реки </w:t>
            </w:r>
            <w:r>
              <w:rPr>
                <w:rFonts w:eastAsiaTheme="minorEastAsia"/>
              </w:rPr>
              <w:t xml:space="preserve">Ляча</w:t>
            </w:r>
            <w:r>
              <w:rPr>
                <w:rFonts w:eastAsiaTheme="minorEastAsia"/>
              </w:rPr>
              <w:t xml:space="preserve">, Сенча, </w:t>
            </w:r>
            <w:r>
              <w:rPr>
                <w:rFonts w:eastAsiaTheme="minorEastAsia"/>
              </w:rPr>
              <w:t xml:space="preserve">Амгут</w:t>
            </w:r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 xml:space="preserve">Убинка</w:t>
            </w:r>
            <w:r>
              <w:rPr>
                <w:rFonts w:eastAsiaTheme="minorEastAsia"/>
              </w:rPr>
              <w:t xml:space="preserve">.  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 территории лесничества распространено много мелководных озёр, </w:t>
            </w:r>
            <w:r>
              <w:rPr>
                <w:rFonts w:eastAsiaTheme="minorEastAsia"/>
              </w:rPr>
              <w:t xml:space="preserve">расположенных среди верховых болот. Территория лесничества характеризуется средним классом пожарной опасно</w:t>
            </w:r>
            <w:r>
              <w:rPr>
                <w:rFonts w:eastAsiaTheme="minorEastAsia"/>
              </w:rPr>
              <w:t xml:space="preserve">сти – 3,5.  Пожароопасный </w:t>
            </w:r>
            <w:r>
              <w:rPr>
                <w:rFonts w:eastAsiaTheme="minorEastAsia"/>
              </w:rPr>
              <w:t xml:space="preserve">сезон начинается с третьей декады апреля по вторую декаду </w:t>
            </w:r>
            <w:r>
              <w:rPr>
                <w:rFonts w:eastAsiaTheme="minorEastAsia"/>
              </w:rPr>
              <w:t xml:space="preserve">октября  и</w:t>
            </w:r>
            <w:r>
              <w:rPr>
                <w:rFonts w:eastAsiaTheme="minorEastAsia"/>
              </w:rPr>
              <w:t xml:space="preserve"> средняя продолжительность пожароопасного сезона  260 дней. Территория лесничества разделена на две зоны охраны лесов – авиационную и наземную. Распределение площади лесного фонда по классам природной пожарной </w:t>
            </w:r>
            <w:r>
              <w:rPr>
                <w:rFonts w:eastAsiaTheme="minorEastAsia"/>
              </w:rPr>
              <w:t xml:space="preserve">опасности  </w:t>
            </w:r>
            <w:r>
              <w:rPr>
                <w:rFonts w:eastAsiaTheme="minorEastAsia"/>
                <w:lang w:val="en-US"/>
              </w:rPr>
              <w:t xml:space="preserve">I</w:t>
            </w:r>
            <w:r>
              <w:rPr>
                <w:rFonts w:eastAsiaTheme="minorEastAsia"/>
              </w:rPr>
              <w:t xml:space="preserve">-9250 га., </w:t>
            </w:r>
            <w:r>
              <w:rPr>
                <w:rFonts w:eastAsiaTheme="minorEastAsia"/>
                <w:lang w:val="en-US"/>
              </w:rPr>
              <w:t xml:space="preserve">II</w:t>
            </w:r>
            <w:r>
              <w:rPr>
                <w:rFonts w:eastAsiaTheme="minorEastAsia"/>
              </w:rPr>
              <w:t xml:space="preserve">-3678 га., </w:t>
            </w:r>
            <w:r>
              <w:rPr>
                <w:rFonts w:eastAsiaTheme="minorEastAsia"/>
                <w:lang w:val="en-US"/>
              </w:rPr>
              <w:t xml:space="preserve">III</w:t>
            </w:r>
            <w:r>
              <w:rPr>
                <w:rFonts w:eastAsiaTheme="minorEastAsia"/>
              </w:rPr>
              <w:t xml:space="preserve">-115283 га., </w:t>
            </w:r>
            <w:r>
              <w:rPr>
                <w:rFonts w:eastAsiaTheme="minorEastAsia"/>
                <w:lang w:val="en-US"/>
              </w:rPr>
              <w:t xml:space="preserve">IV</w:t>
            </w:r>
            <w:r>
              <w:rPr>
                <w:rFonts w:eastAsiaTheme="minorEastAsia"/>
              </w:rPr>
              <w:t xml:space="preserve">-571327 га., </w:t>
            </w:r>
            <w:r>
              <w:rPr>
                <w:rFonts w:eastAsiaTheme="minorEastAsia"/>
                <w:lang w:val="en-US"/>
              </w:rPr>
              <w:t xml:space="preserve">V</w:t>
            </w:r>
            <w:r>
              <w:rPr>
                <w:rFonts w:eastAsiaTheme="minorEastAsia"/>
              </w:rPr>
              <w:t xml:space="preserve">-200516 га. 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/>
            <w:bookmarkStart w:id="0" w:name="_GoBack"/>
            <w:r/>
            <w:bookmarkEnd w:id="0"/>
            <w:r>
              <w:t xml:space="preserve">1.1. Информация о лесорастительных зонах и лесных р</w:t>
            </w:r>
            <w:r>
              <w:t xml:space="preserve">айонах, лесистости, об общей площади лесов и ее распределении по целевому назначению, преобладающим породам, группам возраста, информация о делении по участковым лесничествам, распределении лесов по типам леса в разрезе участковых лесничеств, информация о </w:t>
            </w:r>
            <w:r>
              <w:t xml:space="preserve">лесопожарном</w:t>
            </w:r>
            <w:r>
              <w:t xml:space="preserve"> зонировании, распределении площади лесов по классам природной пожарной опасности, характеристика пожароопасного сезона (начало, окончание, продолжительность по лесным зонам (лесным районам), виды лесных по</w:t>
            </w:r>
            <w:r>
              <w:t xml:space="preserve">жаров, их динамика, сезонные особенности, информация о динамике площадей, пройденных лесными пожарами, площадей погибших насаждений, информация о причинах возникновения лесных пожаров, информация об угрозе распространения пожаров (низкая, средняя, высокая)</w:t>
            </w:r>
            <w:r>
              <w:rPr>
                <w:rFonts w:eastAsiaTheme="minorEastAsia"/>
              </w:rPr>
              <w:t xml:space="preserve"> по плану противопожарного </w:t>
            </w:r>
            <w:r>
              <w:rPr>
                <w:lang w:eastAsia="en-US"/>
              </w:rPr>
              <w:t xml:space="preserve">обустройства лесов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приведена в таблице </w:t>
            </w:r>
            <w:r>
              <w:rPr>
                <w:rFonts w:eastAsiaTheme="minorEastAsia"/>
              </w:rPr>
              <w:t xml:space="preserve">- приложении</w:t>
            </w:r>
            <w:r>
              <w:rPr>
                <w:rFonts w:eastAsiaTheme="minorEastAsia"/>
              </w:rPr>
              <w:t xml:space="preserve"> №1</w:t>
            </w:r>
            <w:r>
              <w:rPr>
                <w:rFonts w:eastAsiaTheme="minorEastAsia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1.2.</w:t>
            </w:r>
            <w:r>
              <w:t xml:space="preserve"> Информация о лесных участках, предоставленных в пользование, - характе</w:t>
            </w:r>
            <w:r>
              <w:t xml:space="preserve">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 приведена в таблице - приложении №2.</w:t>
            </w:r>
            <w:r/>
          </w:p>
          <w:p>
            <w:pPr>
              <w:contextualSpacing/>
              <w:ind w:firstLine="284"/>
              <w:spacing w:before="200"/>
            </w:pPr>
            <w:r>
              <w:t xml:space="preserve">1.3. И</w:t>
            </w:r>
            <w:r>
              <w:t xml:space="preserve">нформация о состоянии противопожарного обустройства лесов (наличие объектов противопожарного обустройства лесов и оценка эффективности мероприятий по противопожарному обустройству лесов</w:t>
            </w:r>
            <w:r>
              <w:t xml:space="preserve"> приведена в таблице - приложении №3.</w:t>
            </w:r>
            <w:r/>
          </w:p>
          <w:p>
            <w:pPr>
              <w:contextualSpacing/>
              <w:ind w:firstLine="284"/>
              <w:spacing w:before="200"/>
            </w:pPr>
            <w:r/>
            <w:r/>
          </w:p>
          <w:p>
            <w:pPr>
              <w:contextualSpacing/>
              <w:ind w:firstLine="284"/>
              <w:spacing w:before="200"/>
              <w:rPr>
                <w:b/>
              </w:rPr>
            </w:pPr>
            <w:r>
              <w:rPr>
                <w:b/>
              </w:rPr>
              <w:t xml:space="preserve">II. Проектируемые меры противопожарного обустройства лесов с учетом затрат на их выполнение.</w:t>
            </w:r>
            <w:r>
              <w:rPr>
                <w:b/>
              </w:rPr>
            </w:r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2.1.</w:t>
            </w:r>
            <w:r>
              <w:t xml:space="preserve"> Создание, содержание и эксплуатация лесных дорог, предназначенных для охраны лесов от пожаров </w:t>
            </w:r>
            <w:r>
              <w:t xml:space="preserve">информация </w:t>
            </w:r>
            <w:r>
              <w:t xml:space="preserve">приведена</w:t>
            </w:r>
            <w:r>
              <w:t xml:space="preserve"> в таблице</w:t>
            </w:r>
            <w:r>
              <w:t xml:space="preserve"> приложени</w:t>
            </w:r>
            <w:r>
              <w:t xml:space="preserve">я</w:t>
            </w:r>
            <w:r>
              <w:t xml:space="preserve"> №4.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2.2.</w:t>
            </w:r>
            <w:r>
              <w:t xml:space="preserve"> Создание, содержание и эксплуатация посадочных площадок для самолетов и вертолетов, используемых в целях проведения авиационных работ по охране лесов от пожаров – не планируется.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2.3. </w:t>
            </w:r>
            <w:r>
              <w:t xml:space="preserve">Прокладка просек, противопожарных разрывов, устройство противопожарных минерализованных полос</w:t>
            </w:r>
            <w:r>
              <w:t xml:space="preserve"> -</w:t>
            </w:r>
            <w:r>
              <w:t xml:space="preserve"> </w:t>
            </w:r>
            <w:r>
              <w:t xml:space="preserve">информация </w:t>
            </w:r>
            <w:r>
              <w:t xml:space="preserve">приведена в таблице приложени</w:t>
            </w:r>
            <w:r>
              <w:t xml:space="preserve">я</w:t>
            </w:r>
            <w:r>
              <w:t xml:space="preserve"> №4.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2.4</w:t>
            </w:r>
            <w:r>
              <w:rPr>
                <w:rFonts w:eastAsiaTheme="minorEastAsia"/>
              </w:rPr>
              <w:t xml:space="preserve">.</w:t>
            </w:r>
            <w:r>
              <w:t xml:space="preserve"> Создание, содержание и эксплуатация пожарных наблюдательных пунктов (вышек, мачт, павильонов и других наблюдательных пунктов), пунктов </w:t>
            </w:r>
            <w:r>
              <w:t xml:space="preserve">сосредоточения противопожарного инвентаря </w:t>
            </w:r>
            <w:r>
              <w:t xml:space="preserve">не планируется (пункты сосредоточения противопожарного инвентаря находятся только у арендаторов лесных участков).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2.5. </w:t>
            </w:r>
            <w:r>
              <w:t xml:space="preserve">Устройство пожарных водоемов и подъездов к источникам противопожарного водоснабжения – не планируется.</w:t>
            </w:r>
            <w:r/>
          </w:p>
          <w:p>
            <w:pPr>
              <w:contextualSpacing/>
              <w:ind w:firstLine="284"/>
              <w:spacing w:before="200"/>
            </w:pPr>
            <w:r>
              <w:t xml:space="preserve">2.6. Проведение работ по гидромелиорации земель – не планируется.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2.7. </w:t>
            </w:r>
            <w:r>
              <w:t xml:space="preserve">Снижение природной пожарной опасности лесов путем регулирования породного состава лесных насаждений – не планируется.</w:t>
            </w:r>
            <w:r/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2.8. </w:t>
            </w:r>
            <w:r>
              <w:t xml:space="preserve">Проведение профилакти</w:t>
            </w:r>
            <w:r>
              <w:t xml:space="preserve">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</w:t>
            </w:r>
            <w:r>
              <w:t xml:space="preserve"> -</w:t>
            </w:r>
            <w:r>
              <w:t xml:space="preserve"> </w:t>
            </w:r>
            <w:r>
              <w:t xml:space="preserve">информация </w:t>
            </w:r>
            <w:r>
              <w:t xml:space="preserve">приведена</w:t>
            </w:r>
            <w:r>
              <w:t xml:space="preserve"> в таблице</w:t>
            </w:r>
            <w:r>
              <w:t xml:space="preserve"> приложени</w:t>
            </w:r>
            <w:r>
              <w:t xml:space="preserve">я</w:t>
            </w:r>
            <w:r>
              <w:t xml:space="preserve"> №4.</w:t>
            </w:r>
            <w:r>
              <w:rPr>
                <w:rFonts w:eastAsiaTheme="minorEastAsia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2.9. </w:t>
            </w:r>
            <w:r>
              <w:rPr>
                <w:rFonts w:ascii="Times New Roman" w:hAnsi="Times New Roman" w:cs="Times New Roman"/>
                <w:sz w:val="28"/>
              </w:rPr>
              <w:t xml:space="preserve">Прочистка просек, прочистка противопожарных минерализованных полос и их обновление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</w:rPr>
              <w:t xml:space="preserve">приведена</w:t>
            </w:r>
            <w:r>
              <w:rPr>
                <w:rFonts w:ascii="Times New Roman" w:hAnsi="Times New Roman" w:cs="Times New Roman"/>
                <w:sz w:val="28"/>
              </w:rPr>
              <w:t xml:space="preserve"> в таблице</w:t>
            </w:r>
            <w:r>
              <w:rPr>
                <w:rFonts w:ascii="Times New Roman" w:hAnsi="Times New Roman" w:cs="Times New Roman"/>
                <w:sz w:val="28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</w:rPr>
              <w:t xml:space="preserve"> №4.</w:t>
            </w:r>
            <w:r>
              <w:rPr>
                <w:rFonts w:ascii="Times New Roman" w:hAnsi="Times New Roman" w:cs="Times New Roman"/>
                <w:sz w:val="28"/>
              </w:rPr>
              <w:t xml:space="preserve">    2.10.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пожарных водоемов и подъездов к источникам водоснабжения – не планируется.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зон отдыха граждан, пребывающих в лесах в соответствии со </w:t>
            </w:r>
            <w:hyperlink r:id="rId10" w:tooltip="https://login.consultant.ru/link/?req=doc&amp;base=LAW&amp;n=453004&amp;dst=1000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статьей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2.12. 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  <w:r>
              <w:rPr>
                <w:rFonts w:ascii="Times New Roman" w:hAnsi="Times New Roman" w:cs="Times New Roman"/>
                <w:sz w:val="28"/>
              </w:rPr>
              <w:t xml:space="preserve"> – не планируется.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2.13. </w:t>
            </w:r>
            <w:r>
              <w:rPr>
                <w:rFonts w:ascii="Times New Roman" w:hAnsi="Times New Roman" w:cs="Times New Roman"/>
                <w:sz w:val="28"/>
              </w:rPr>
              <w:t xml:space="preserve">Создание и содержание противопожарных заслонов и устройство лиственных опушек – не планируется.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2.14.</w:t>
            </w:r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</w:rPr>
              <w:t xml:space="preserve">становка и размещение стендов и других знаков и указателей, содержащих информацию о мерах пожарной безопасности в лесах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приведена в таблице приложения №4.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2.15. </w:t>
            </w:r>
            <w:r>
              <w:rPr>
                <w:rFonts w:ascii="Times New Roman" w:hAnsi="Times New Roman" w:cs="Times New Roman"/>
                <w:sz w:val="28"/>
              </w:rPr>
              <w:t xml:space="preserve">Объем и </w:t>
            </w:r>
            <w:r>
              <w:rPr>
                <w:rFonts w:ascii="Times New Roman" w:hAnsi="Times New Roman" w:cs="Times New Roman"/>
                <w:sz w:val="28"/>
              </w:rPr>
              <w:t xml:space="preserve">пообъектное</w:t>
            </w:r>
            <w:r>
              <w:rPr>
                <w:rFonts w:ascii="Times New Roman" w:hAnsi="Times New Roman" w:cs="Times New Roman"/>
                <w:sz w:val="28"/>
              </w:rPr>
              <w:t xml:space="preserve"> распределение проектируемых мер в разрезе лесничеств с указанием квартала, выдела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приведена в таблице приложения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2.16. </w:t>
            </w:r>
            <w:r>
              <w:rPr>
                <w:rFonts w:ascii="Times New Roman" w:hAnsi="Times New Roman" w:cs="Times New Roman"/>
                <w:sz w:val="28"/>
              </w:rPr>
              <w:t xml:space="preserve">Календарный план выполнения мер</w:t>
            </w:r>
            <w:r>
              <w:rPr>
                <w:sz w:val="28"/>
              </w:rPr>
              <w:t xml:space="preserve"> </w:t>
            </w: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приведена в таблице приложения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b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ГРАФИЧЕСКАЯ ЧАСТЬ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плана противопожарного обустройства лесов на территории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Убин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ского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лесничества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Обзорная карта-схема по принадлежности граничащих территорий</w:t>
            </w:r>
            <w:r>
              <w:rPr>
                <w:rFonts w:ascii="Times New Roman" w:hAnsi="Times New Roman" w:cs="Times New Roman"/>
                <w:sz w:val="28"/>
              </w:rPr>
              <w:t xml:space="preserve"> – приложение №7.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погибших и поврежденных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природной пожарной опасности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лесопожарного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зонирования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лесопожарных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рисков на территории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размещения лесных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противопожарного обустройства лесничества (с указанием объектов противопожарного обустройства в разрезе участковых лесничеств)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</w:tr>
    </w:tbl>
    <w:p>
      <w:pPr>
        <w:jc w:val="lef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</w:r>
      <w:r>
        <w:rPr>
          <w:rFonts w:ascii="Arial" w:hAnsi="Arial" w:cs="Arial"/>
          <w:color w:val="444444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113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35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5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5" w:hanging="645"/>
      </w:pPr>
    </w:lvl>
    <w:lvl w:ilvl="1">
      <w:start w:val="1"/>
      <w:numFmt w:val="decimal"/>
      <w:isLgl w:val="false"/>
      <w:suff w:val="tab"/>
      <w:lvlText w:val="%1.%2"/>
      <w:lvlJc w:val="left"/>
      <w:pPr>
        <w:ind w:left="928" w:hanging="64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92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5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781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424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9"/>
    <w:link w:val="63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character" w:styleId="179">
    <w:name w:val="Endnote Text Char"/>
    <w:link w:val="643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8">
    <w:name w:val="Heading 1"/>
    <w:basedOn w:val="627"/>
    <w:next w:val="627"/>
    <w:link w:val="648"/>
    <w:uiPriority w:val="9"/>
    <w:qFormat/>
    <w:pPr>
      <w:jc w:val="left"/>
      <w:keepNext/>
      <w:spacing w:before="240" w:after="60"/>
      <w:outlineLvl w:val="0"/>
    </w:pPr>
    <w:rPr>
      <w:rFonts w:asciiTheme="majorHAnsi" w:hAnsiTheme="majorHAnsi" w:eastAsiaTheme="majorEastAsia"/>
      <w:b/>
      <w:bCs/>
      <w:sz w:val="32"/>
      <w:szCs w:val="32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Header"/>
    <w:basedOn w:val="627"/>
    <w:link w:val="633"/>
    <w:unhideWhenUsed/>
    <w:pPr>
      <w:tabs>
        <w:tab w:val="center" w:pos="4677" w:leader="none"/>
        <w:tab w:val="right" w:pos="9355" w:leader="none"/>
      </w:tabs>
    </w:pPr>
  </w:style>
  <w:style w:type="character" w:styleId="633" w:customStyle="1">
    <w:name w:val="Верхний колонтитул Знак"/>
    <w:basedOn w:val="629"/>
    <w:link w:val="632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4" w:customStyle="1">
    <w:name w:val="основной текст документа Знак"/>
    <w:basedOn w:val="629"/>
    <w:link w:val="635"/>
    <w:rPr>
      <w:rFonts w:ascii="Times New Roman" w:hAnsi="Times New Roman" w:eastAsia="Times New Roman" w:cs="Times New Roman"/>
    </w:rPr>
  </w:style>
  <w:style w:type="paragraph" w:styleId="635" w:customStyle="1">
    <w:name w:val="основной текст документа"/>
    <w:basedOn w:val="636"/>
    <w:link w:val="634"/>
    <w:qFormat/>
    <w:pPr>
      <w:ind w:left="0" w:firstLine="567"/>
      <w:spacing w:after="0"/>
    </w:pPr>
    <w:rPr>
      <w:sz w:val="22"/>
      <w:szCs w:val="22"/>
      <w:lang w:eastAsia="en-US"/>
    </w:rPr>
  </w:style>
  <w:style w:type="paragraph" w:styleId="636">
    <w:name w:val="Body Text Indent"/>
    <w:basedOn w:val="627"/>
    <w:link w:val="637"/>
    <w:uiPriority w:val="99"/>
    <w:unhideWhenUsed/>
    <w:pPr>
      <w:ind w:left="283"/>
      <w:spacing w:after="120"/>
    </w:pPr>
  </w:style>
  <w:style w:type="character" w:styleId="637" w:customStyle="1">
    <w:name w:val="Основной текст с отступом Знак"/>
    <w:basedOn w:val="629"/>
    <w:link w:val="63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8">
    <w:name w:val="Hyperlink"/>
    <w:basedOn w:val="629"/>
    <w:uiPriority w:val="99"/>
    <w:semiHidden/>
    <w:unhideWhenUsed/>
    <w:rPr>
      <w:color w:val="0000ff" w:themeColor="hyperlink"/>
      <w:u w:val="single"/>
    </w:rPr>
  </w:style>
  <w:style w:type="paragraph" w:styleId="63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40">
    <w:name w:val="Balloon Text"/>
    <w:basedOn w:val="627"/>
    <w:link w:val="6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1" w:customStyle="1">
    <w:name w:val="Текст выноски Знак"/>
    <w:basedOn w:val="629"/>
    <w:link w:val="6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42">
    <w:name w:val="List Paragraph"/>
    <w:basedOn w:val="627"/>
    <w:uiPriority w:val="34"/>
    <w:qFormat/>
    <w:pPr>
      <w:contextualSpacing/>
      <w:ind w:left="720"/>
    </w:pPr>
  </w:style>
  <w:style w:type="paragraph" w:styleId="643">
    <w:name w:val="endnote text"/>
    <w:basedOn w:val="627"/>
    <w:link w:val="644"/>
    <w:uiPriority w:val="99"/>
    <w:pPr>
      <w:jc w:val="left"/>
    </w:pPr>
    <w:rPr>
      <w:rFonts w:eastAsiaTheme="minorEastAsia"/>
      <w:sz w:val="20"/>
      <w:szCs w:val="20"/>
    </w:rPr>
  </w:style>
  <w:style w:type="character" w:styleId="644" w:customStyle="1">
    <w:name w:val="Текст концевой сноски Знак"/>
    <w:basedOn w:val="629"/>
    <w:link w:val="643"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styleId="64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646" w:customStyle="1">
    <w:name w:val="ConsPlusCell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table" w:styleId="647">
    <w:name w:val="Table Grid"/>
    <w:basedOn w:val="6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8" w:customStyle="1">
    <w:name w:val="Заголовок 1 Знак"/>
    <w:basedOn w:val="629"/>
    <w:link w:val="628"/>
    <w:uiPriority w:val="9"/>
    <w:rPr>
      <w:rFonts w:cs="Times New Roman" w:asciiTheme="majorHAnsi" w:hAnsiTheme="majorHAnsi" w:eastAsiaTheme="majorEastAsia"/>
      <w:b/>
      <w:bCs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3004&amp;dst=1000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0A20-95F3-4E1C-BD27-D4F72AE7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13</cp:revision>
  <dcterms:created xsi:type="dcterms:W3CDTF">2024-02-29T04:20:00Z</dcterms:created>
  <dcterms:modified xsi:type="dcterms:W3CDTF">2024-04-15T08:25:05Z</dcterms:modified>
</cp:coreProperties>
</file>