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both"/>
      </w:pPr>
      <w:r/>
      <w:r/>
    </w:p>
    <w:p>
      <w:pPr>
        <w:pStyle w:val="838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Губернатор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Травников А.А.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СОГЛАСОВАНО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Исполняющий обязанности начальника Департамента лесного хозяйства по Сибирскому федеральному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Николайченко К.В.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4"/>
        <w:gridCol w:w="836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противопожарного обустройства лесов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субъекта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период с «01» января 2024 г. по «31» декабря 2028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I. Краткая характеристика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>
              <w:t xml:space="preserve">1.1.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contextualSpacing/>
              <w:ind w:left="0" w:right="0"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Новосибирская область расположена в центре России, в юго-восточной части Западно-Сибирской равнины. Площадь Новосибирской области - почти 178 тысяч км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что составляет чуть больше 1% всей территории России.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Новосибирская область входит в состав Сибирского федерального округа.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Климат в Новосибирской области континентальный, средняя температура января от -16 на юге до -20 °C в северных районах. Средняя температура июля +18 ... +20 °C. Средняя годовая температура воздуха 0,2 °C. Абсолютный максимум температуры +37 °C, минимум -51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°C.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Заморозки на почве начинаются во второй половине сентября и заканчиваются в конце мая.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Продолжительность холодного периода - 178, теплого - 188, безморозного - 120 дней.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Годов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ое количество осадков 425 мм, из них 20% приходится на май - июнь, в частности, в период с апреля по октябрь выпадает (в среднем) 330 мм осадков, в период с ноября по март - 95 мм. В Новосибирской области в год случается в среднем 86 безоблачных дней и 67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 со сплошной облачностью.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Простираясь с запада на восток на 625 км и с севера на юг на 425 км, Новосибирская область располагается между 75 - 85 градусами восточной долготы и 53 - 57 градусами северной широты, занимая значительную часть Обь-Иртышского междуречья.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Область граничит на юге с Алтайским краем, на юго-западе - с Казахстаном, на западе - с Омской, на севере - с Томской, на востоке - с Кемеровской областями.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Территория области представляет собой плоскую равнину. Новосибирская область занимает главным образом южную часть Васюганской равнины и Барабинскую низменность, в восточной част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обрамлена горами - предгорьями Салаирского кряжа.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области протекает около 350 рек, главная река - Обь.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Долина реки Оби делит территорию области на две части: левобережье и правобережье.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Характерным элементом ландшафта являются озера, которых в Новосибирской области насчитывается более трех тысяч.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распределении почвенного покрова на территории области ярко выражена широтная з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ональность с севера на юг. По выраженности природных условий и по приуроченности почв к ландшафтам область разделена на таежно-лесную (таежную и подтаежную), лесостепную (севе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рную, центральную и южную) и степную зоны. В целом почвенный покров Новосибирской области весьма сложный и мозаичный. В области выделяют 12 основных типов почв: дерново-подзолистые и дерново-глеевые, серые лесные, черноземы оподзоленные и выщелоченные, чер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ноземы обыкновенные и южные, лугово-черноземные и черноземно-луговые, луговые, лугово-болотные, болотные, солончаки, солонцы, солоди и аллювиальные.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Таежно-лесная зона характеризуется сочетанием и комплексом подзолистых, дерново-подзолистых и подзолисто-глеевых почв, а также луговых и болотных, которые наиболее распространены. Для подтаежной подзоны зональными почвами являются черноземы выщелоченные 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оподзоленные. Кроме того, здесь много серых лесных почв, часто оподзоленных или осолоделых.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В долине р. Оби, пересекающей зоны южной тайги и лесостепи, на высоких терра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сах, под сосновыми борами сформировались дерново-подзолистые и подзолистые почвы, а на низких террасах и в пойме - различной степени развитости луговые и болотные аллювиальные почвы.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(информация о рельефе, гидрографии, климате, почвенно-грунтовых условиях)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>
              <w:t xml:space="preserve">1.2.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ind w:left="-8" w:right="-8" w:firstLine="703"/>
              <w:jc w:val="both"/>
              <w:spacing w:before="0" w:after="0" w:line="291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Наличие 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звитой транспортной инфраструктуры в лесном фонде, является одной из важнейших мер противопожарного обустройства лесов. Дорожная сеть в Новосибирской области имеет протяженность более 19,6 тыс. км различных видов дорог. По территории области проходит главн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ая железнодорожная магистраль страны Москва - Владивосток (участок Татарск — Болотная), с ответвлением в южном направлении: Новосибирск — Черепаново. Вблизи западной границы области проходит железная дорога Татарск — Карасук, по югу области Карасук — Сузун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. Всего по территории области проходит 476 км железных дорог.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-8" w:right="-8" w:firstLine="703"/>
              <w:jc w:val="both"/>
              <w:spacing w:before="0" w:after="0" w:line="291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875867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8984965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7495319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Сеть авт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омобильных дорог, протяженностью около 18 тыс. км, представлена дорогами федерального значения «Байкал» и «Чуйский тракт», территориального значения Новосибирск — Ленинск - Кузнецкий, Новосибирск — Колывань и Здвинск — Барабинск, а также грунтовыми дорогам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 круглогодового и сезонного действия  и зимниками. Протяженность автомобильных дорог общего пользования в области составляет более 13,5 тыс. км.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-8" w:right="-8" w:firstLine="703"/>
              <w:jc w:val="both"/>
              <w:spacing w:before="0" w:after="0" w:line="291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Для целей лесного хозяйства в той или иной степени используются все дороги.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-1" w:right="14" w:firstLine="696"/>
              <w:jc w:val="both"/>
              <w:spacing w:before="0" w:after="2" w:line="313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Наличием дорог свыше 10 км на 1000 га лесного фонда обеспечены 6 лесничеств (Доволенское, Здвинское, Карасукское, Купинское, Новосибирское, Сузунское). Для полного охвата лесонасаждений лесохозяйственными мероприятиями, охраны и защиты леса и организации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птимального лесопользования указанная протяженность дорог для данных лесничеств достаточна.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-1" w:right="14" w:firstLine="696"/>
              <w:jc w:val="both"/>
              <w:spacing w:before="0" w:after="2" w:line="313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Краснозерское, Татарское и Чановское лесничества расположены в подтаежно-лесостепном лесорастительном районе степной зоны и представлены колочными лесами. С учетом невысокой интенсивности ведения лесного хозяйства и наличием множества временных грунтовых 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орог в степи проблем с транспортной доступностью в этих лесничествах нет.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7" w:right="-1" w:firstLine="703"/>
              <w:jc w:val="both"/>
              <w:spacing w:before="0" w:after="11" w:line="277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Дороги противопожарного назначения устраивают в дополнение к имеющейся сети лесных дорог, чтобы обеспечить проезд автотранспорта к участкам, опасным в пожарном отношении, и к водоемам. Работы по устройству таких дорог заключаются в корчевании пней, расчист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ке и выравнивании проезжей части, устройстве гатей, переездов через канавы, ручьи и т.п.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7" w:right="-1" w:firstLine="703"/>
              <w:jc w:val="both"/>
              <w:spacing w:before="0" w:after="11" w:line="277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 дорогам противопожарного назначения относятся и грунтовые естественные проезды, проезжие квартальные просеки и различные трассы.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7" w:right="-1" w:firstLine="703"/>
              <w:jc w:val="both"/>
              <w:spacing w:before="0" w:after="11" w:line="277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267283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676036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558444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 рассмотрении вопросов обеспеченности транспортной сетью территории каждого лесничества и предприятия в целом следует учитывать, что во многих случаях места возникших пожаров расположены на некотором расстоянии от автодорог и расстояние это зависит от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бщей густоты сети дорог в данном лесном массиве или лесничестве. Расстояния от дорог до мест пожаров в лесу преодолеваются, как правило, пешком.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7" w:right="-1" w:firstLine="703"/>
              <w:jc w:val="both"/>
              <w:spacing w:before="0" w:after="11" w:line="277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районах наземной охраны лесов время доставки сил и средств пожаротушения к месту возникшего пожара не должно превышать З часов с момента обнаружения пожара. Для участков высокой пожарной опасности (I-II классы) время доставки сил и средств пожаротушения 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бычно устанавливается не более 0,5-1,0 часа.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ind w:left="7" w:right="-1" w:firstLine="703"/>
              <w:jc w:val="both"/>
              <w:spacing w:before="0" w:after="11" w:line="277" w:lineRule="atLeast"/>
              <w:rPr>
                <w:rFonts w:ascii="Times New Roman" w:hAnsi="Times New Roman" w:eastAsia="Times New Roman" w:cs="Times New Roman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Строительство дорог противопожарного назначения в дополнение к имеющейся сети дорог на территории лесного фонда необходимо в случаях, когда не обеспечивается проезд автотранспорта и пожарной техники к пожароопасным участкам (первых трех классов пожарной оп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асности) в установленные сроки и где плотность пожаров на единицу площади была высокой и может сохраняться высокой в перспективе.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Новосибирская область относительно богата реками. Речная сеть включает Обь с притоками, правые притоки Иртыша и реки бессточного бассейна.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Река Обь - главная артерия области, пересекающая ее с юга на север, одна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7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15237175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величайших рек земного шара. Площадь бассейна около З млн. кв. км. Обь — типичная равнинная река. От слияния Бии и Катуни до устья, то есть на 3676 км длины, общее падение составляет всего 160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Правый берег Оби обычно высокий, покрыт сосновым бором. Это или склон плато, или обрыв высокой террасы. Сложен суглинками подмывается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8" name="_x0000_i10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22414209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разрушается.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160020</wp:posOffset>
                      </wp:positionV>
                      <wp:extent cx="4445" cy="4445"/>
                      <wp:effectExtent l="0" t="0" r="0" b="0"/>
                      <wp:wrapSquare wrapText="bothSides"/>
                      <wp:docPr id="9" name="_x0000_s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5228940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4" cy="4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position:absolute;z-index:524288;o:allowoverlap:true;o:allowincell:true;mso-position-horizontal-relative:text;margin-left:35.30pt;mso-position-horizontal:absolute;mso-position-vertical-relative:text;margin-top:12.60pt;mso-position-vertical:absolute;width:0.35pt;height:0.35pt;mso-wrap-distance-left:9.00pt;mso-wrap-distance-top:0.00pt;mso-wrap-distance-right:9.00pt;mso-wrap-distance-bottom:0.00pt;" stroked="f">
                      <v:path textboxrect="0,0,0,0"/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Левый берег Оби на всем протяжении преимущественно низкий. Севернее Новосибирска. Колыванский отрезок поймы местами имеет ширину до 25 км.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10" name="_x0000_i10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460660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9" o:spid="_x0000_s9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нее характерны обширные луга, тальниковые заросли и болота. Левый берег, в отличие от правого, - пологий, гладкий, песчаный.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11" name="_x0000_i103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84031871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page">
                        <wp:posOffset>365760</wp:posOffset>
                      </wp:positionH>
                      <wp:positionV relativeFrom="page">
                        <wp:posOffset>6437630</wp:posOffset>
                      </wp:positionV>
                      <wp:extent cx="4445" cy="4445"/>
                      <wp:effectExtent l="0" t="0" r="0" b="0"/>
                      <wp:wrapTopAndBottom/>
                      <wp:docPr id="12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836943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4" cy="44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position:absolute;z-index:251658241;o:allowoverlap:true;o:allowincell:true;mso-position-horizontal-relative:page;margin-left:28.80pt;mso-position-horizontal:absolute;mso-position-vertical-relative:page;margin-top:506.90pt;mso-position-vertical:absolute;width:0.35pt;height:0.35pt;mso-wrap-distance-left:9.00pt;mso-wrap-distance-top:0.00pt;mso-wrap-distance-right:9.00pt;mso-wrap-distance-bottom:0.00pt;" stroked="f">
                      <v:path textboxrect="0,0,0,0"/>
                      <w10:wrap type="topAndBottom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левобережье первое место по площади занимает бассейн р. Иртыш, затем идут Омь и Тар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 с притоками. Омь начинается из небольшого озера Омского в южном Васюганье на высоте 150 м. Длина Оми 768 км с площадью водосбора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51,6 тыс. кв. км.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4"/>
              <w:contextualSpacing/>
              <w:ind w:left="28" w:right="7" w:firstLine="68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Тара начинается в небольшом озере среди Васюганских болот. Ее общая протяженность около 900 км. Ширина р. Тары у Кыштовки в половодье 50-60 м,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13" name="_x0000_i103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63284287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 м - в межень. Речная сеть правобережья Оби включает басс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ейны Ини и Берди. Среди рек бессточного бассейна можно выделить Кожурлу, Карапуз, Каргат,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4448"/>
                      <wp:effectExtent l="0" t="0" r="0" b="0"/>
                      <wp:docPr id="14" name="_x0000_i103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1685261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44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0.35pt;height:0.3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Чулым, Баган.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Левые притоки Оби коротки и мелководны.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Обское море впадают реки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48" cy="27318"/>
                      <wp:effectExtent l="0" t="0" r="0" b="0"/>
                      <wp:docPr id="15" name="_x0000_i103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70316587" name=""/>
                              <pic:cNvPicPr/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4447" cy="273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0.35pt;height:2.15pt;mso-wrap-distance-left:0.00pt;mso-wrap-distance-top:0.00pt;mso-wrap-distance-right:0.00pt;mso-wrap-distance-bottom:0.00pt;" stroked="f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Алеус, Кирза, Шарап, Ирмень.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Климаторегулирующее значение рек Западной Сибири определяется размером испарений с водной  поверхности, стоком и суммой тепла, переносимого водой из южных районов в северные.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3" w:line="313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Данные сопоставления среднемесячной температуры воды с температурой воздуха, показывают «отепляющее» влияние сибирских рек на климат северных зон. Кроме 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го, реки являются своеобразными переносчиками семян древесных пород, создавая особый режим климата 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дренируя почвогрунты пойм и надпойменных террас, способствуют развитию своеобразных сосновых, кедровых, ивняковых и других типов леса, не встречающихся на водоразделах.</w:t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5" cy="9525"/>
                      <wp:effectExtent l="0" t="0" r="0" b="0"/>
                      <wp:docPr id="1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54146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/>
                              <a:stretch/>
                            </pic:blipFill>
                            <pic:spPr bwMode="auto">
                              <a:xfrm>
                                <a:off x="0" y="0"/>
                                <a:ext cx="9524" cy="95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0.75pt;height:0.75pt;mso-wrap-distance-left:0.00pt;mso-wrap-distance-top:0.00pt;mso-wrap-distance-right:0.00pt;mso-wrap-distance-bottom:0.00pt;" stroked="false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Озера — самый характерный элемент ландшафта Новосибирской области. Самые крупные из них находятся в центральной части области — Чаны, Сартлан, Убинское, Урюм и др. Всего в области около 3000 озер, главным образом,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средних и мелких размеров с площадью зеркала от 100 до 2000 га. Озера занимают 3,594 площади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Озера, в основном, пресные, и только сравнительно немногие (менее 1094), расположенные в наиболее засушливой юго-западной части области, солоноватые и соленые.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Географическое распределение озер по области неравномерно. Большинство их расположено на левобережье Оби, в западной и юго-западной части области, характерных равнинным рельефом и обилием западин, На холмистом правобережье Присалаирья озер почти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Озеро Чаны — самое крупное, площадь его составляет 3,5 тыс. кв. км, длина 91 км, ширина — около 60 км, глубина 3,5 м. В его бассейн входят Большие и Малые Чаны, Яркуль, Урюм и Саргуль.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Озеро Сартлан включает в себя множество других озер, общая площадь 29,8 кв. км. Дно озера блюдцеобразной формы. Глубины от берегов увеличиваются быстро — до 5,0-6,5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59" w:line="285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Озеро Убинское находится в северо-восточной части области. В западной части озера расположены три острова, их общая площадь 725 га. Дно Убинского озера плоское с незначительным уклоном с востока на запад.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Смежные отрасли экономики так или иначе оказывают влияние на развитие пирологической ситуации в регионе, учитывая возникновение ландшафтных пожарах и переход огня на земли лесного фонда.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Населения области по видам экономической деятельности распределено следующим оразом: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сельское хозяйство, охота и лесное хозяйство и рыбоводство - 6,7%;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добыча полезных ископаемых - 2,2%;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обрабатывающие производства - 14,4%;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производство и распределение электроэнергии, газа и воды - 3,2%;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строительство - 7,2%;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оптовая и розничная торговля, ремонт автотранспортных средств, мотоциклов, бытовых изделий и предметов личного пользования, гостиницы и рестораны - 18,5%;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транспорт и связь - 9,5%;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финансовая деятельность, операции с недвижимым имуществом, аренда и предоставление услуг - 9,2%;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государственное управление и обеспечение военной безопасности; обязательное социальное обеспечение - 7,4%;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- 9,4%;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здравоохранение и предоставление социальных услуг - 8%;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другие виды экономической деятельности - 4,3%.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28" w:right="7" w:firstLine="681"/>
              <w:jc w:val="both"/>
              <w:spacing w:before="0" w:after="459" w:line="285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</w:t>
            </w:r>
            <w:r>
              <w:rPr>
                <w:highlight w:val="white"/>
              </w:rPr>
              <w:t xml:space="preserve">информация об об</w:t>
            </w:r>
            <w:r>
              <w:rPr>
                <w:highlight w:val="white"/>
              </w:rPr>
              <w:t xml:space="preserve">ъектах транспортной и лесной инфраструктуры, о возможности их использования для целей охраны лесов от пожаров, информация о реках и водоемах, о возможности их использования для охраны лесов от пожаров, оценка влияния смежных отраслей экономики на развитие </w:t>
            </w:r>
            <w:r>
              <w:rPr>
                <w:highlight w:val="white"/>
              </w:rPr>
              <w:t xml:space="preserve">лесопирологической</w:t>
            </w:r>
            <w:r>
              <w:rPr>
                <w:highlight w:val="white"/>
              </w:rPr>
              <w:t xml:space="preserve"> ситуации)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>
              <w:t xml:space="preserve">1.3.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Общая площадь лесов Новосибирской области составляет 6 725,4 тыс. га, в том числе площадь земель лесного фонда Новосибирской области составляет 6 531,2 тыс. га, из них покрытая лесом – 4716,2 тыс. га.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hyperlink r:id="rId9" w:tooltip="consultantplus://offline/ref=9B46BC0CE9DC9DF97BDDD450A4396B1949256B5F5D0B13F84317A3C81AA2A88F140AFCA60BB88C3627B7C45FF9Y6n0H" w:history="1">
              <w:r>
                <w:rPr>
                  <w:rStyle w:val="816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приказом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Министерства природных ресурсов и экологии Российской Федерации от 18.08.2014 N 367 "Об утверждении Перечня лесорастительных зон Российской Федерации и Перечня лесных районов Российской Федерации" по лесорастительному районированию территория Новосибирско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 области относится: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таежной зоне, к Западно-Сибирскому южно-таежному равнинному району: Колыванский (северная часть - с южной части ограничена координатами от 83°10"12"" в.д. 55°43"48"" с.ш., 82°43"48"" в.д. 55°50"24"" с.ш., 82°14"24"" в.д. 55°54"36"" с.ш. до 81°48"00"" в.д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56°00"00"" с.ш.), Кыштовский (северная часть - с южной части ограничена координатами от 76°07"48"" в.д. 56°25"48" с.ш. до 77°12"00"" в.д. 56°21"00"" с.ш.), Северный (северная часть - с южной части ограничена координатами от 77°42"00"" в.д. 56°19"12"" с.ш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. до 80°01"12"" в.д. 56°07"12"" с.ш.), Убинский (северная часть - с южной части ограничена координатами от 80°01"12"" в.д. 56°07"12"" с.ш., 80°45"36"" в.д. 56°01"12"" с.ш., 81°25"12"" в.д. 55°58"12"" с.ш. до 81°48"00"" в.д. 56°00"00" с.ш.) муниципальные 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йоны;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лесостепной зоне, к Западно-Сибирскому подтаежно-лесостепному лесному району: Баганский, Барабинский, Болотнинский, Венгеровский, Доволенский, Здвинский, Искитимский, Карасукский, Каргатский, Колыванский (южная часть - к югу от Западно-Сибирского южно-та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ежного равнинного района), Коченевский, Кочковский, Краснозерский, Куйбышевский, Купинский, Кыштовский (южная часть - к югу от Западно-Сибирского южно-таежного равнинного района), Маслянинский (равнинная часть), Мошковский, Новосибирский, Ордынский, Северн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ый (южная часть - к югу от Западно-Сибирского южно-таежного равнинного района), Сузунский, Татарский, Тогучинский (равнинная часть), Убинский (южная часть - к югу от Западно-Сибирского южно-таежного равнинного района), Усть-Таркский, Чановский, Черепановск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ий, Чистоозерный, Чулымский муниципальные районы;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Южно-Сибирской горной зоне, Алтае-Саянскому горно-таежному лесному району: Маслянинский (горная часть), Тогучинский (горная часть) муниципальные районы.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лесном фонде лесничеств области по площади преобладают эксплуатационные леса – 64,1%, защитные леса составляют 35,9%. Среди защитных лесов наиболее представлены леса, расположенные в пустынных, полупустынных, лесостепных, лесотундровых зонах, степях, гор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ах (71,8%) и запретные полосы лесов, расположенные вдоль водных объектов (6,9%), на долю ленточных боров приходится – 4,9%, лесов зеленых зон – 2,0% от площади защитных лесов.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защитным лесам отнесены леса, которые подлежат освоению в целях сохранения средообразующих, водоохранных, защитных, санитарно-гигиенических, оздоровительных и иных полезных функций лесов с одновременным использованием лесов при условии, если это использо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вание совместимо с целевым назначением защитных лесов и выполняемыми ими полезными функциями.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эксплуатационным лесам отнесены леса, которые подлежат освоению в целях устойчивого, максимально эффективного получения высококачественной древесины и других лесных ресурсов, продуктов их переработки с обеспечением сохранения полезных функций лесов.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Из всей покрытой лесом площади на долю ценных хвойных насаждений приходится – 21,5%, а на долю мягколиственных – 78,5%. </w:t>
              <w:tab/>
              <w:t xml:space="preserve">Преобладание лиственных насаждений наблюдается в лесах большинства лесничеств области.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Наибольшую площадь (88,7 %) и запас среди хвойных насаждений имеют древостои сосны, которые распространены в северо-западной части области – Убинском и Северном лесничествах, в бассейне р. Оби в восточной и юго-восточной части области – Новосибирское, Орд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ынское, Сузунское, Мошковское, Болотнинское лесничества.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Кедровые, пихтовые, еловые и лиственничные насаждения занимают всего 1,2% лесопокрытой площади и распространены в Северном, Убинском, Колыванском, Мирновском, Маслянинском лесничествах.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долю березы приходится 67,5% лесопокрытой площади области. Лесорастительные условия в первую очередь, а также сплошные рубки и пожары явились основными факторами, способствующими возникновению на больших площадях березовых насаждений.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Осиновые насаждения по площади и запасу занимают третье место среди основных лесообразующих пород, составляя 9,7% всей лесопокрытой площади. Все осинники являются вторичными лесами.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долю твердолиственных (клен, вяз и другие ильмовые) приходится 0,02%, кустарников также 1,0% лесопокрытой площади. Кустарники (ива, ольха кустарничковые, черемуха) произрастают главным образом по поймам рек, но встречаются и на суходольных почвах.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425"/>
              <w:jc w:val="both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Общий запас в лесах области на 01.01.2024 составляет 572,3 млн. 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в том числе хвойных –128,32 млн. 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(22,4%). Из общего запаса насаждений на долю сосновых – 18,7%, елово-пихтовых – 2,1 %, кедровых – 1,5%, березовых – 66,4%, осиновых – 10,8%, прочих пород – 0,5%.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соответствии с </w:t>
            </w:r>
            <w:hyperlink r:id="rId10" w:tooltip="consultantplus://offline/ref=9B46BC0CE9DC9DF97BDDD450A4396B1949246E535A0313F84317A3C81AA2A88F060AA4AA09B993342BA2920EBF369B904472758A39AA3B31YBn4H" w:history="1">
              <w:r>
                <w:rPr>
                  <w:rStyle w:val="816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частью 1 статьи 23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Лесного кодекса Российской Федерации основными территориальными единицами управления в области использования, охраны, защиты, воспроизводства лесов являются лесничества. На территории Новосибирской области согласно </w:t>
            </w:r>
            <w:hyperlink r:id="rId11" w:tooltip="consultantplus://offline/ref=9B46BC0CE9DC9DF97BDDDD49A3396B194A236E5F5E0B13F84317A3C81AA2A88F140AFCA60BB88C3627B7C45FF9Y6n0H" w:history="1">
              <w:r>
                <w:rPr>
                  <w:rStyle w:val="816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приказу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Федерального агентства лесного хозяйства от 23.12.2008 N 405 "Об определении количества лесничеств на территории Новосибирской области и установлении их границ" организовано 26 лесничеств.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540"/>
              <w:jc w:val="both"/>
              <w:spacing w:before="2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Информация представлена в приложении 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(информация о лесном фонде субъекта Российско</w:t>
            </w:r>
            <w:r>
              <w:t xml:space="preserve">й Федерации - лесорастительные зоны и лесные районы, лесистость, </w:t>
            </w:r>
            <w:r>
              <w:rPr>
                <w:highlight w:val="white"/>
              </w:rPr>
              <w:t xml:space="preserve">общая площадь лесов и</w:t>
            </w:r>
            <w:r>
              <w:rPr>
                <w:highlight w:val="white"/>
              </w:rPr>
              <w:t xml:space="preserve"> ее</w:t>
            </w:r>
            <w:r>
              <w:rPr>
                <w:highlight w:val="white"/>
              </w:rPr>
              <w:t xml:space="preserve"> деление по лесничествам</w:t>
            </w:r>
            <w:r>
              <w:rPr>
                <w:highlight w:val="white"/>
              </w:rPr>
              <w:t xml:space="preserve">,</w:t>
            </w:r>
            <w:r>
              <w:rPr>
                <w:highlight w:val="white"/>
              </w:rPr>
              <w:t xml:space="preserve"> распределение лесов по</w:t>
            </w:r>
            <w:r>
              <w:t xml:space="preserve"> целевому назначению, преобладающим породам, группам возраста, преобладающие типы леса по лесным районам (лесным зонам)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>
              <w:t xml:space="preserve">1.4.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ind w:left="0" w:right="0" w:firstLine="56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нформация о лесных участках, пред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оставленных в пользование,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 характеристика 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развития на срок действия плана) представлена в таблице 1.2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8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(информация о лесных участках, пред</w:t>
            </w:r>
            <w:r>
              <w:rPr>
                <w:highlight w:val="white"/>
              </w:rPr>
              <w:t xml:space="preserve">оставленных в пользование, - характеристика 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развития на срок действия плана)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>
              <w:t xml:space="preserve">1.5.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территории лесничеств новосибирской области в 2023 году выполнялись меры противопожарного обустройства лесов в следующих объемах: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Создание лесных дорог предназначенных для охраны лесов от пожаров - 30,3 км;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лесных дорог предназначенных для охраны лесов от пожаров - 92,3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км;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- 6086,4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км;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Прочистка просек, прочистка противопожарных минерализованных полос и их обновление - 15119,8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км;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Устройство пожарных водоемов и подъездов к источникам противопожарного водоснабжения - 10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Установка средств наглядной агитации - 973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Благоустройство мест отдыха граждан, пребывающих в лесах - 128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шт;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профилактических контролируемых противопожарных выжиганий хвороста, лесной подстилки, сухой травы и других лесных горючих материалов - 3075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Мероприятия по противопожарному обустройству лесов выполнялись в соответствии с лесным планом Новосибирской области, в установленные сроки согласно заключенным государственным контрактам и до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веденным государственным заданиям на выполнение работ по охране, защите и воспроизводству лесов, а также лицами использующим леса, в соответствии со сроками, установленными проектами освоения лесов и договорами аренды лесных участков.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Данные мероприятия выполняются с целью ограничения распространения пожаров, как на территории земель лесного фонда, так и перехода огня на сопредельные территории, в том числе на земли сельскохозяйственного назначения и населенные пункты.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/>
              <w:ind w:left="0" w:right="0"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Эффективность проводимых мероприятий по противопожарному обустройству лесов является удовлетворительной.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(информация о состоянии противопожарного обустройства лесов (наличие объектов противопожарного обустройства лесов и о</w:t>
            </w:r>
            <w:r>
              <w:rPr>
                <w:highlight w:val="white"/>
              </w:rPr>
              <w:t xml:space="preserve">ценка эффективности мероприятий</w:t>
            </w:r>
            <w:r>
              <w:t xml:space="preserve"> по противопожарному обустройству лесов)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none"/>
              </w:rPr>
              <w:outlineLvl w:val="1"/>
            </w:pPr>
            <w:r>
              <w:t xml:space="preserve">II. Проектируемые меры противопожарного обустройства лесов </w:t>
            </w:r>
            <w:r>
              <w:rPr>
                <w:highlight w:val="white"/>
              </w:rPr>
              <w:t xml:space="preserve">с учетом затрат </w:t>
            </w:r>
            <w:r>
              <w:t xml:space="preserve">на их выполнение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8"/>
              <w:ind w:left="0" w:righ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Меры противопожарного обустройства лесов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на землях лесного фонда выполняется в соответствии с объемами, установленными Лесным планом Новосибирской области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запроектированы с учетом затрат в следующих объемах: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лесных дорог противопожарного назначения назначения, 28 км.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Создание лесных дорог противопожарного назначения назначения, 80 км.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(создание, содержание и эксплуатация лесных дорог, предназначенных для охраны лесов от пожаров)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пожаров)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Устройство противопожарных минерализованных полос запланировано в объеме 5800 км.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(прокладка просек, противопожарных разрывов, устройство противопожарных минерализованных полос)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Информация о наличии и эксплуатации пунктов сосредоточения противопожарного инвентаря, наблюдательных пунктов представлена в таблице 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Строительство водоемов противопожарного назначения, 10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(устройство пожарных водоемов и подъездов к источникам противопожарного водоснабжения)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(проведение работ по гидромелиорации земель)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(снижение природной пожарной опасности лесов путем регулирования породного состава лесных насаждений)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2.8.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contextualSpacing/>
              <w:ind w:left="0" w:right="0" w:firstLine="42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Проведение профилактич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еских контролируемых противопожарных выжиганий хвороста, лесной подстилки, сухой травы и других лесных горючих материалов, запланировано на площади 6300 га, в т.ч.: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Барабинское лесничество - 100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Болотнинское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лесничество - 271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Венгеровское лесничество - 212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Доволенское лесничество - 100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Здвинское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- 92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Искитимское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- 200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Карасукское лесничество - 100 га;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Каргатское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- 240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Колыванское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629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Коченевское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- 200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Краснозерское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- 80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Куйбышевское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- 100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Купинское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- 443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Кыштовское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- 130 га;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Маслянинское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- 260 га; Мирновское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- 270 га; Мошковское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- 215 га; Новосибирское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- 96,9 га; Ордынское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- 323,4 га; Северное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- 350 га; Сузунское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- 400 га; Татарское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- 300 га; Убинское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- 500 га;Чановское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- 400 га; Черепановское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лесничество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137,7га; Чулымское лесничество - 150 га.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85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Работы по проведению контролируемых противопожарных выжиганий проводятся в строгом соответствии с Правилами противопожарного режима в Российской Федерации и в соответствии с Методическими указаниями по организации и проведению профилактических контролируем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ых противопожарных выжиганий хвороста, лесной подстилки, сухой травы и других лесных горючих материалов в лесах на землях лесного фонда, утвержденных приказом Министерства природных ресурсов и экологии Российской Федерации от 27.08.2019 № 580.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(проведение профилактич</w:t>
            </w:r>
            <w:r>
              <w:t xml:space="preserve">еских контролируемых противопожарных выжиганий хвороста, лесной подстилки, сухой травы и других лесных горючих материалов, включая информацию об и</w:t>
            </w:r>
            <w:r>
              <w:rPr>
                <w:highlight w:val="white"/>
              </w:rPr>
              <w:t xml:space="preserve">х территориальном размещении</w:t>
            </w:r>
            <w:r>
              <w:t xml:space="preserve">, площадных объемах, а также о мероприятиях по обеспечению безопасности выжиганий)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Уход за противопожарными минерализованными полосами запланирован в объеме 14800 км.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Прочистка просек, уход за противопожарными разрывами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запланировано в объеме 161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(прочистка просек, прочистка противопожарных минерализованных полос и их обновление)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2.10.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Эксплуатируется 10 пожарных водоемов и подъездов к источникам водоснабжения.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(эксплуатация пожарных водоемов и подъездов к источникам водоснабжения)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мест отдыха запланировано в объеме 125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(благоустройство зон отдыха граждан, пребывающих в лесах в соответствии со </w:t>
            </w:r>
            <w:hyperlink r:id="rId12" w:tooltip="https://login.consultant.ru/link/?req=doc&amp;base=LAW&amp;n=453004&amp;dst=100050" w:history="1">
              <w:r>
                <w:rPr>
                  <w:color w:val="0000ff"/>
                </w:rPr>
                <w:t xml:space="preserve">статьей 11</w:t>
              </w:r>
            </w:hyperlink>
            <w:r>
              <w:t xml:space="preserve"> Лесного кодекса Российской Федерации)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Не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 запланировано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(создание и содержание противопожарных заслонов и устройство лиственных опушек)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Установка аншлагов, стендов, запланировано в объеме 900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</w:pPr>
            <w:r>
              <w:t xml:space="preserve">(установка и размещение стендов и других знаков и указателей, содержащих информацию о мерах пожарной безопасности в лесах)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бъем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пообъ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ектное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распределение проектируемых мер в разрезе лесничеств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с указанием квартала и выдела предствлено в таблице 2.15.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(объем и </w:t>
            </w:r>
            <w:r>
              <w:rPr>
                <w:highlight w:val="white"/>
              </w:rPr>
              <w:t xml:space="preserve">пообъ</w:t>
            </w:r>
            <w:bookmarkStart w:id="6" w:name="_GoBack"/>
            <w:r>
              <w:rPr>
                <w:highlight w:val="white"/>
              </w:rPr>
            </w:r>
            <w:bookmarkEnd w:id="6"/>
            <w:r>
              <w:rPr>
                <w:highlight w:val="white"/>
              </w:rPr>
              <w:t xml:space="preserve">ектное</w:t>
            </w:r>
            <w:r>
              <w:rPr>
                <w:highlight w:val="white"/>
              </w:rPr>
              <w:t xml:space="preserve"> распределение проектируемых мер в разрезе лесничеств)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5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  <w:jc w:val="both"/>
            </w:pPr>
            <w:r>
              <w:t xml:space="preserve">2.16.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Календарный план выполнения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 противопожаорного обустройства на территории Новосибирской области,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представлен в приложении 2.16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 w:val="false"/>
          </w:tcPr>
          <w:p>
            <w:pPr>
              <w:pStyle w:val="838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366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(календарный план выполнения мер)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center"/>
              <w:rPr>
                <w:highlight w:val="none"/>
              </w:rPr>
              <w:outlineLvl w:val="1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8"/>
              <w:jc w:val="center"/>
              <w:rPr>
                <w:highlight w:val="none"/>
              </w:rPr>
              <w:outlineLvl w:val="1"/>
            </w:pPr>
            <w:r>
              <w:t xml:space="preserve">ГРАФИЧЕСКАЯ ЧАСТЬ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8"/>
              <w:jc w:val="center"/>
            </w:pPr>
            <w:r>
              <w:t xml:space="preserve">плана противопожарного обустройства лесов на территории субъекта Российской Федерации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both"/>
              <w:rPr>
                <w:highlight w:val="none"/>
              </w:rPr>
              <w:outlineLvl w:val="2"/>
            </w:pPr>
            <w:r>
              <w:t xml:space="preserve">Приложение 1. Карта-схема природной пожарной опасности лесов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both"/>
              <w:outlineLvl w:val="2"/>
            </w:pPr>
            <w:r>
              <w:t xml:space="preserve">Приложение 2. Карта-схема </w:t>
            </w:r>
            <w:r>
              <w:t xml:space="preserve">лесопожарных</w:t>
            </w:r>
            <w:r>
              <w:t xml:space="preserve"> рисков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both"/>
              <w:outlineLvl w:val="2"/>
            </w:pPr>
            <w:r>
              <w:t xml:space="preserve">Приложение 3. Карта-схема размещения лесных дорог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both"/>
              <w:outlineLvl w:val="2"/>
            </w:pPr>
            <w:r>
              <w:t xml:space="preserve">Приложение 4. Карта-схема противопожарного обустройства субъекта Российской Федерации (с указанием объектов противопожарного обустройства в разрезе лесничеств)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838"/>
              <w:jc w:val="both"/>
              <w:outlineLvl w:val="2"/>
            </w:pPr>
            <w:r>
              <w:t xml:space="preserve">Приложение 5. Рабочие чертежи проектируемых объектов и проектных технологических решений противопожарного обустройства лесов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41">
    <w:name w:val="Balloon Text"/>
    <w:basedOn w:val="834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5"/>
    <w:link w:val="84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9B46BC0CE9DC9DF97BDDD450A4396B1949256B5F5D0B13F84317A3C81AA2A88F140AFCA60BB88C3627B7C45FF9Y6n0H" TargetMode="External"/><Relationship Id="rId10" Type="http://schemas.openxmlformats.org/officeDocument/2006/relationships/hyperlink" Target="consultantplus://offline/ref=9B46BC0CE9DC9DF97BDDD450A4396B1949246E535A0313F84317A3C81AA2A88F060AA4AA09B993342BA2920EBF369B904472758A39AA3B31YBn4H" TargetMode="External"/><Relationship Id="rId11" Type="http://schemas.openxmlformats.org/officeDocument/2006/relationships/hyperlink" Target="consultantplus://offline/ref=9B46BC0CE9DC9DF97BDDDD49A3396B194A236E5F5E0B13F84317A3C81AA2A88F140AFCA60BB88C3627B7C45FF9Y6n0H" TargetMode="External"/><Relationship Id="rId12" Type="http://schemas.openxmlformats.org/officeDocument/2006/relationships/hyperlink" Target="https://login.consultant.ru/link/?req=doc&amp;base=LAW&amp;n=453004&amp;dst=10005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Бобровицкий Роман Артурович</dc:creator>
  <cp:keywords/>
  <dc:description/>
  <cp:revision>9</cp:revision>
  <dcterms:created xsi:type="dcterms:W3CDTF">2024-01-23T02:18:00Z</dcterms:created>
  <dcterms:modified xsi:type="dcterms:W3CDTF">2024-05-08T08:05:48Z</dcterms:modified>
</cp:coreProperties>
</file>