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3.xml" ContentType="application/vnd.openxmlformats-officedocument.drawingml.chart+xml"/>
  <Override PartName="/docProps/core.xml" ContentType="application/vnd.openxmlformats-package.core-properties+xml"/>
  <Override PartName="/word/charts/chart4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Шестернин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4"/>
        <w:gridCol w:w="8620"/>
        <w:gridCol w:w="592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противопожарного обустройства лесов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Мошковское лесничество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лесничества)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с "01"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024 г. по "31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Краткая характеристика лесничества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76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Мошковское лесничество расположено в двух административных районах Новосибирской области: Новосибирском и Мошковском. В состав Мошковского лесничества входят пять лесохозяйственных участков общей площад</w:t>
            </w:r>
            <w:r>
              <w:rPr>
                <w:sz w:val="28"/>
                <w:szCs w:val="28"/>
              </w:rPr>
              <w:t xml:space="preserve">ью 109 118 га: Белоярский – 16 130 га, Кубовинский – 14 476 га, Ояшинский – 5 310 га, Мошковский №1 – 3 885 га, Мошковский №2 – 69 317 га. Покрытые лесом земли составляют 106 618 га или 97,7% от общей площади. Преобладающая порода – берёза, состав 5Б3С2Ос.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приказом Рослесхоза от 09.03.2011</w:t>
            </w:r>
            <w:r>
              <w:rPr>
                <w:sz w:val="28"/>
                <w:szCs w:val="28"/>
              </w:rPr>
              <w:t xml:space="preserve"> года №61 «Об утверждении Перечня лесорастительных районов Российской Федерации» - Новосибирский и Мошковский муниципальные районы Новосибирской области отнесены к Западно-Сибирскому подтаежно-лесостепному лесному району лесостепной лесорастительной зоны. 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расположения лесничества с включенными лесохозяйственными участками полностью представлена равнинными лесами, расположено на правом берегу реки Оби.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леса лесного участка по целевому назначению относятся к </w:t>
            </w:r>
            <w:r>
              <w:rPr>
                <w:sz w:val="28"/>
                <w:szCs w:val="28"/>
              </w:rPr>
              <w:t xml:space="preserve">защитным лесам.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зависимости от расположения и функционального назначения защитные леса лесного участка в соответствии ЛК РФ подразделены на следующие категории: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леса, выполняющие функции защиты природных и иных объектов.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категорию лесов выполняющие функции защиты природных и иных объектов входят: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защитные полосы лесов, расположенные вдоль железнодорожных путей общего пользования, федеральных автомобильных дорог общего пользования, находящихся в собственности субъектов РФ;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зелёные зоны.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ценные леса.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категорию ценных лесов входят: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нерестоохранные полосы лесов;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леса, расположенные в пустынных, полупустынных, лесотундровых зонах, степях, горах;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Существующее разделение лес</w:t>
            </w:r>
            <w:r>
              <w:rPr>
                <w:sz w:val="28"/>
                <w:szCs w:val="28"/>
              </w:rPr>
              <w:t xml:space="preserve">ов лесного участка по целевому назначению и категориям защитных лесов соответствует лесному законодательству, нормативам, сложившимся естественно-историческим и экономическим условиям района, природоохранным и экологическим целям ведения лесного хозяйства.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лесном фонде преобладают лиственные насаждения – 86%.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насаждений по группам возраста имеет следующее соотношение: молодняки занимают 2,2% покрытых лесной растительностью земель, средневозрастные – 15,2%, приспевающие – 41,2%, спелые и перестойные – 41,4%, в том числе перестойные – 1,1%.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хвойном хозяйстве молодняки составляют – 3,9%, средневозрастные – 26,8%, приспевающие – 25,5%, спелые и перестойные – 43,8% площади лесопокрытых земель.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мягколиственном хозяйстве распределение насаждений по группам возраста следующее: молодняки – 1,9%, средневозрастные – 13,3%, приспевающие – 43,8%, спелые и перестойные -41,0%.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запас хвойных насаждений составляет 4280,1 тыс. м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  <w:t xml:space="preserve"> или 20, 9% от общего запаса. Запас спелых и перестойных насаждений хвойных пород составляет 1848,9 тыс. м</w:t>
            </w:r>
            <w:r>
              <w:rPr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  <w:t xml:space="preserve">или 9,0% общего запаса спелых и перестойных лесных насаждений.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Территория лесничества отнесена к зоне авиационного обнаружения и наземного тушения на площади 54.3 тыс. га и зоне наземного обнаружения и тушения на площади 54,8 тыс. га.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класс пожарной опасности составляет – 3,7. Повышает пожарную опасность и доступность лесного фонда лесного участка для любого вида транспорта и его посещение населением в летний период </w:t>
            </w:r>
            <w:r>
              <w:rPr>
                <w:sz w:val="28"/>
                <w:szCs w:val="28"/>
              </w:rPr>
              <w:t xml:space="preserve">во время сбора грибов и ягод. Средняя продолжительность пожароопасного периода 190 дней (апрель-октябрь).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площади земель лесного фонда лесничества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классам пожарной опасности</w:t>
            </w:r>
            <w:r>
              <w:rPr>
                <w:sz w:val="28"/>
                <w:szCs w:val="28"/>
              </w:rPr>
            </w:r>
          </w:p>
          <w:tbl>
            <w:tblPr>
              <w:tblW w:w="8839" w:type="dxa"/>
              <w:jc w:val="center"/>
              <w:tblBorders>
                <w:top w:val="single" w:color="00000A" w:sz="4" w:space="0"/>
                <w:left w:val="single" w:color="00000A" w:sz="4" w:space="0"/>
                <w:bottom w:val="single" w:color="00000A" w:sz="4" w:space="0"/>
                <w:right w:val="single" w:color="00000A" w:sz="4" w:space="0"/>
                <w:insideH w:val="single" w:color="00000A" w:sz="4" w:space="0"/>
                <w:insideV w:val="single" w:color="00000A" w:sz="4" w:space="0"/>
              </w:tblBorders>
              <w:tblLayout w:type="fixed"/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474"/>
              <w:gridCol w:w="1855"/>
              <w:gridCol w:w="750"/>
              <w:gridCol w:w="750"/>
              <w:gridCol w:w="848"/>
              <w:gridCol w:w="848"/>
              <w:gridCol w:w="750"/>
              <w:gridCol w:w="1284"/>
              <w:gridCol w:w="1280"/>
            </w:tblGrid>
            <w:tr>
              <w:tblPrEx/>
              <w:trPr>
                <w:jc w:val="center"/>
                <w:tblHeader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№ п/п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Участковые лесничества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gridSpan w:val="5"/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3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по классам пожарной</w:t>
                  </w: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опасности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Площадь лесничества,  га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Средний класс пожарной опасности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  <w:tblHeader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</w:r>
                  <w:r>
                    <w:rPr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Белоярский лесохозяйственный участок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229,2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1812,8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2174,9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10569,5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1343,6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16130,0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Кубовинский лесохозяйственный участок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610,4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221,8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6934,7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5874,9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834,2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14476,0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Мошковский лесохозяйственный участок № 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405,4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123,1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1056,6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2139,2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160,7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3885,0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Ояшинский лесохозяйственный участок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1457,7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433,2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695,7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2254,5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468,9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5310,0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47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855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Мошковский лесохозяйственный участок № 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120,9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641,7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11976,5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51096,3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5481,6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69317,0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jc w:val="center"/>
              </w:trPr>
              <w:tc>
                <w:tcPr>
                  <w:gridSpan w:val="2"/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232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Итого по 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лесничеству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2823,6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3232,6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22838,4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84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71934,4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75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8289,0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109118</w:t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A" w:sz="4" w:space="0"/>
                    <w:left w:val="single" w:color="00000A" w:sz="4" w:space="0"/>
                    <w:bottom w:val="single" w:color="00000A" w:sz="4" w:space="0"/>
                    <w:right w:val="single" w:color="00000A" w:sz="4" w:space="0"/>
                  </w:tcBorders>
                  <w:tcMar>
                    <w:left w:w="98" w:type="dxa"/>
                  </w:tcMar>
                  <w:tcW w:w="128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3,7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ind w:firstLine="708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лесничества возникают низовые пожары, причиной которых в большинстве своем является переход с земель иных категорий. Малый процент возникновения лесных пожаров происходит </w:t>
            </w:r>
            <w:r>
              <w:rPr>
                <w:sz w:val="28"/>
                <w:szCs w:val="28"/>
              </w:rPr>
              <w:t xml:space="preserve">по вине местног</w:t>
            </w:r>
            <w:r>
              <w:rPr>
                <w:sz w:val="28"/>
                <w:szCs w:val="28"/>
              </w:rPr>
              <w:t xml:space="preserve">о населения и линейных объектов. 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Наиболее пожароопасным является </w:t>
            </w:r>
            <w:r>
              <w:rPr>
                <w:color w:val="333333"/>
                <w:sz w:val="28"/>
                <w:szCs w:val="28"/>
              </w:rPr>
              <w:t xml:space="preserve">ве</w:t>
            </w:r>
            <w:r>
              <w:rPr>
                <w:color w:val="333333"/>
                <w:sz w:val="28"/>
                <w:szCs w:val="28"/>
              </w:rPr>
              <w:t xml:space="preserve">сенний период от момента схода снегового покрова до появления обильной травяной растительности (апрель — май). Этот период характерен малой относительной влажностью </w:t>
            </w:r>
            <w:r>
              <w:rPr>
                <w:color w:val="333333"/>
                <w:sz w:val="28"/>
                <w:szCs w:val="28"/>
              </w:rPr>
              <w:t xml:space="preserve">воздуха, обилием солнечных дней. </w:t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В летний период влажность воздуха и напочвенного покрова повышается. Обильная травяная растительность и листва на кустарниках и деревьях служат хорошим препятствием на пути распространения огня. Условия для возникновения лесных пожаров ухудшаются.</w:t>
            </w:r>
            <w:r>
              <w:rPr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В конце вегетационного периода условия вновь способствуют возникновению загораний, так как происходит отмирание и высыхание травянистой растительности, опадение листвы. Количество пожаров увеличивается.</w:t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</w:r>
            <w:r>
              <w:rPr>
                <w:color w:val="333333"/>
                <w:sz w:val="28"/>
                <w:szCs w:val="28"/>
              </w:rPr>
            </w:r>
          </w:p>
          <w:p>
            <w:pPr>
              <w:ind w:left="-8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5979381" cy="3434964"/>
                  <wp:effectExtent l="0" t="0" r="2540" b="13335"/>
                  <wp:docPr id="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ind w:left="-8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995284" cy="3617843"/>
                  <wp:effectExtent l="0" t="0" r="5715" b="1905"/>
                  <wp:docPr id="2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035040" cy="3514477"/>
                  <wp:effectExtent l="0" t="0" r="3810" b="10160"/>
                  <wp:docPr id="3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693134" cy="3840480"/>
                  <wp:effectExtent l="0" t="0" r="3175" b="7620"/>
                  <wp:docPr id="4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63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7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4"/>
        <w:gridCol w:w="145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598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Лесной участок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97 995 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Новосибирская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Мошковское лесничество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 в аренду АО «Дубровинский лесхоз»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заготовки древесины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недревесных лесных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Лесной участок расположен на территории Мошковского лесничества и занимает 89, 8% его общей площади.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Лесной участок расположен в двух административных районах Новосибирской области: Мошковском и Новосибирском.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Мошковском административном районе общая площадь лесного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83519 га (85,2%), а остальная часть (Кубовинский лесохозяйственный участок) находится на территории Новосибирского района и составляет 14476 га (14,8%).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Арендуемый участок состоит из двух частей: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numPr>
                <w:ilvl w:val="0"/>
                <w:numId w:val="2"/>
              </w:numPr>
              <w:ind w:left="5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1 лесного участка площадью 39281,0 га, является частью лесного участка площадью 398010000,0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м: Кубовинский лесохозяйственный участок (Новосибирский район), кварталы №1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138; Белоярский лесохозяйственный участок (Мошковский район) кварталы №139-283; Ояшинский лесохозяйственный участок (Мошковский район) кварталы №284 – 333, Мошковский лесохозяйственный участок №1 (Мошковский район) кварталы №334-364, 368 – 370.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numPr>
                <w:ilvl w:val="0"/>
                <w:numId w:val="2"/>
              </w:numPr>
              <w:ind w:left="5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2 лесного участка площадью 58714,0 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Мошковский лесохозяйственный участок №2 (Мошковский район): к-з «Ленинец», кв. 375-424, с-з «Союз строителей», кв. 425 – 448; с-з «Ояшинский»,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449-485; с-з «Зеркальный», кв. 486-497; с-з «Восход», кв. 498-532; с-з «Галинский» кв.533-604; с-з «Белоярский», кв.605-618; с-з «Мошковский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619-656; с-з «Барлакский», кв. 657-698; с-з «Сокурский», кв. 699-729; с-з «Смоленский», кв. 730-761; с-з «Большевик», кв. 762 -797.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Охрана лесов от пожаров осуществляется в соответствии с Федеральным законом от 21.12.1994 г. №69-ФЗ «О пожарной безопасности» и ст. 51-53, 57, 60 ЛК РФ.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обеспечению пожарной безопасности в лесах при использовании,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охране, защите, воспроизводстве лесов, осуществлении иной деятельности в лесах, а также при пребывании граждан определяются «Правилами пожарной безопасности в лесах», утверждёнными постановлением Правительства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7 октября 2020 г. № 1614.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Лесной фонд арендуемого лесного участка относится к району применения наземных и авиационных сил и средств в зоне авиационного 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ланируемые направления и объемы развития на срок действия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66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592"/>
              <w:gridCol w:w="2268"/>
              <w:gridCol w:w="1134"/>
              <w:gridCol w:w="992"/>
              <w:gridCol w:w="1134"/>
              <w:gridCol w:w="1701"/>
              <w:gridCol w:w="992"/>
              <w:gridCol w:w="993"/>
              <w:gridCol w:w="1212"/>
            </w:tblGrid>
            <w:tr>
              <w:tblPrEx/>
              <w:trPr>
                <w:trHeight w:val="525"/>
              </w:trPr>
              <w:tc>
                <w:tcPr>
                  <w:tcW w:w="1446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Объект противопожарного обустройства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Виды мероприятий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Лесничество, участковое лесничество (л/х участок)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квартала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выдела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Единица измерения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Потребность в соответствии с действующими нормативами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Имеется в наличии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205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Проектируемый объём мероприятий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90"/>
              </w:trPr>
              <w:tc>
                <w:tcPr>
                  <w:tcW w:w="1446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Ежегодный объём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gridSpan w:val="10"/>
                  <w:tcW w:w="14464" w:type="dxa"/>
                  <w:textDirection w:val="lrTb"/>
                  <w:noWrap w:val="false"/>
                </w:tcPr>
                <w:p>
                  <w:pPr>
                    <w:pStyle w:val="66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Меры по созданию и содержанию систем и средств предупреждения и тушения лесных пожаров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Лесной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1.1.Устройство противо-пожарных минерализованных полос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периметру лесных культур, хвойных молодняков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Лесной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1.2.Уход за противо-пожарными минерализованными полосами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периметру лесных культур, хвойных молодняков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ПСПИ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1.4. Организация и содержание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ПСПИ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производственной базе арендатора (постоянно)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205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на весь период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Лесной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1.5. Проведение контролируемых отжигов сухих горючих материалов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Лесной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63"/>
              </w:trPr>
              <w:tc>
                <w:tcPr>
                  <w:gridSpan w:val="10"/>
                  <w:tcW w:w="14464" w:type="dxa"/>
                  <w:textDirection w:val="lrTb"/>
                  <w:noWrap w:val="false"/>
                </w:tcPr>
                <w:p>
                  <w:pPr>
                    <w:pStyle w:val="663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Иные меры пожарной безопасности в лесах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W w:w="1446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Средства наглядной агитации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4.1.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емонт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подновление предупредительных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аншлагов.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Кубовинский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150"/>
              </w:trPr>
              <w:tc>
                <w:tcPr>
                  <w:tcW w:w="1446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Белоярский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243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471"/>
              </w:trPr>
              <w:tc>
                <w:tcPr>
                  <w:tcW w:w="1446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Ояшинский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293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W w:w="1446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Мошковский-1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351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Лесной участок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4.2. Проведение лекций и бесед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Мошковское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Кубовинский лху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144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592" w:type="dxa"/>
                  <w:textDirection w:val="lrTb"/>
                  <w:noWrap w:val="false"/>
                </w:tcPr>
                <w:p>
                  <w:pPr>
                    <w:pStyle w:val="66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4.3. Участие в разработке планов тушения лесных пожаров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268" w:type="dxa"/>
                  <w:vMerge w:val="continue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gridSpan w:val="2"/>
                  <w:tcW w:w="2126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производственной базе арендатора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134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993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12" w:type="dxa"/>
                  <w:textDirection w:val="lrTb"/>
                  <w:noWrap w:val="false"/>
                </w:tcPr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66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4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bCs/>
          <w:sz w:val="28"/>
          <w:szCs w:val="28"/>
        </w:rPr>
        <w:sectPr>
          <w:footnotePr/>
          <w:endnotePr/>
          <w:type w:val="nextPage"/>
          <w:pgSz w:w="16838" w:h="11906" w:orient="landscape"/>
          <w:pgMar w:top="567" w:right="1134" w:bottom="851" w:left="1134" w:header="709" w:footer="709" w:gutter="0"/>
          <w:cols w:num="1" w:sep="0" w:space="708" w:equalWidth="1"/>
          <w:docGrid w:linePitch="360"/>
        </w:sect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35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4"/>
        <w:gridCol w:w="8620"/>
        <w:gridCol w:w="592"/>
      </w:tblGrid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764" w:type="dxa"/>
            <w:textDirection w:val="lrTb"/>
            <w:noWrap w:val="false"/>
          </w:tcPr>
          <w:p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 xml:space="preserve">Противопожарное обустройство лесов на территории Мошковского лесничества</w:t>
            </w:r>
            <w:r>
              <w:rPr>
                <w:bCs/>
                <w:sz w:val="28"/>
                <w:szCs w:val="28"/>
              </w:rPr>
              <w:t xml:space="preserve"> включает в себя </w:t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л</w:t>
            </w:r>
            <w:r>
              <w:rPr>
                <w:sz w:val="28"/>
                <w:szCs w:val="28"/>
              </w:rPr>
              <w:t xml:space="preserve">есные дороги, предназначенные для охраны лесов от пожаров;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70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просеки, противопожарные разрывы, противопожарные минерализованные полосы;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пожарные наблюдательные пункты (вышки, мачты, павильоны и другие наблюдательные пункты), пункты сосредоточения противопожарного инвентаря;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пожарные водоемы и подъезды к источникам противопожарного водоснабжения,</w:t>
            </w:r>
            <w:r>
              <w:rPr>
                <w:sz w:val="28"/>
                <w:szCs w:val="28"/>
              </w:rPr>
            </w:r>
          </w:p>
          <w:p>
            <w:pPr>
              <w:ind w:right="-143"/>
              <w:jc w:val="both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лагоустройство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 отдыха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бновление и </w:t>
            </w:r>
            <w:r>
              <w:rPr>
                <w:sz w:val="28"/>
                <w:szCs w:val="28"/>
              </w:rPr>
              <w:t xml:space="preserve">установка </w:t>
            </w:r>
            <w:r>
              <w:rPr>
                <w:sz w:val="28"/>
                <w:szCs w:val="28"/>
              </w:rPr>
              <w:t xml:space="preserve">аншлагов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Противопожарные минерализованные полосы прокладываются бульдозерами, тракторными почвообрабатывающими орудиями.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Минимальная ширина противопожарной минерализованной </w:t>
            </w:r>
            <w:r>
              <w:rPr>
                <w:sz w:val="28"/>
                <w:szCs w:val="28"/>
              </w:rPr>
              <w:t xml:space="preserve">полосы – 1,4 метра (минерализованная полоса такой ширины создаётся за один проход плуга ПКЛ-70).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Уход за противопожарными минерализованными полосами </w:t>
            </w:r>
            <w:r>
              <w:rPr>
                <w:sz w:val="28"/>
                <w:szCs w:val="28"/>
              </w:rPr>
              <w:t xml:space="preserve">прошлого года создания необходимо проводить однократно за пожароопасный сезон.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Уход за противопожарными минерализованными полосами текущего года создания необходимо проводить двукратно за пожароопасный сезон.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II. Проектируемые меры противопожарного обустройства лесов с учетом затрат на их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 2024 г согласно Плану противопожарного обустройства лесов запланировано содержание лесной дороги, предназначенной для охраны лесов от пожаров, протяженностью 0,9 км. На содержание дороги запланировано 8,3 тыс.руб.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(создание, содержание и эксплуатация лесных дорог, предназначенных для охраны лесов от пожаров)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огласно Плану противопожарного обустройства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пожаров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пожаров)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2024 по 2028 г согласно Плану противопожарного обустройства лесов запланировано: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противопожарных минерализованных полос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протяженностью 210 км ежегодно. Планируемые затраты: 125,5 тыс. руб.; 146,7тыс.руб.; 171,5 тыс. руб.; 200,7 тыс. руб.; 235,5 тыс. руб. соответственно;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протяженностью 540 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(прокладка просек, противопожарных разрывов, устройство противопожарных минерализованных полос)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обустройства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запланировано.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обустройства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пожарных водоемов и подъездов к источникам противопожарного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запланировано.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(устройство пожарных водоемов и подъездов к источникам противопожарного водоснабжения)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обустройства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 по гидромелиорации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работ по гидромелиорации земель)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обустройства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природной пожарной опасности лесов путем регулирования породного состава лесных насаждений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планируется.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(снижение природной пожарной опасности лесов путем регулирования породного состава лесных насаждений)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2024 по 2028 г согласно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ану противопожарного обустройства лесов запланировано проведение профилактических контролируемых противопожарных выжиганий по 215 га ежегодно. Планируемые затраты: 49,4 тыс. руб.; 53 тыс. руб.; 61,8 тыс. руб.; 72,2 тыс. руб. и 84,6 тыс.руб. соответственно.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профилактич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прочистка просек, прочистка противопожарных минерализованных полос и их обновление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запланировано.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(прочистка просек, прочистка противопожарных минерализованных полос и их обновление)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2024 по 2028 г согласно Плану противопожарного обустройства лесов запланировано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зон отдыха граждан, пребывающих в лесах в соответствии со статьей 11 Лесного кодекса Российской Федерации)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2 шт. ежегодно. Планируемые затраты: 11,8 тыс. руб. ежегодно.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(благоустройство зон отдыха граждан, пребывающих в лесах в соответствии со </w:t>
            </w:r>
            <w:hyperlink r:id="rId13" w:tooltip="https://login.consultant.ru/link/?req=doc&amp;base=LAW&amp;n=453004&amp;dst=10005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статьей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планируется.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противопожарного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содержание противопожарных заслонов и устройство лиственных опушек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запланировано.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(создание и содержание противопожарных заслонов и устройство лиственных опушек)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2024 г согласно Плану противопожарного обустройства лесов запланирована установка и размещение стендов в количестве 17 шт.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затратами в 117633,2 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(установка и размещение стендов и других знаков и указателей, содержащих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мерах пожарной безопасности в лесах)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(объем и пообъектное распределение проектируемых мер в разрезе лесничеств с указанием квартала, выдела)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2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(календарный план выполнения мер)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противопожарного обустройства лесов на территории лесничества (прилагается)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Обзорная карта-схема по принадлежности граничащих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Карта-схема погибших и поврежденных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Карта-схема природной пожарной опасности лесов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Карта-схема лесопожарного зонирования лесничества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Карта-схема лесопожарных рисков на территории лесничества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Карта-схема размещения лесных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Карта-схема противопожарного обустройства лесничества (с указанием объектов противопожарного обустройства в разрезе участковых лесничеств)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Условные обозначения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Масштаб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5"/>
    <w:uiPriority w:val="99"/>
  </w:style>
  <w:style w:type="character" w:styleId="45">
    <w:name w:val="Footer Char"/>
    <w:basedOn w:val="660"/>
    <w:link w:val="667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7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table" w:styleId="664">
    <w:name w:val="Table Grid"/>
    <w:basedOn w:val="66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Header"/>
    <w:basedOn w:val="659"/>
    <w:link w:val="6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Верхний колонтитул Знак"/>
    <w:basedOn w:val="660"/>
    <w:link w:val="66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7">
    <w:name w:val="Footer"/>
    <w:basedOn w:val="659"/>
    <w:link w:val="6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Нижний колонтитул Знак"/>
    <w:basedOn w:val="660"/>
    <w:link w:val="66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9">
    <w:name w:val="Balloon Text"/>
    <w:basedOn w:val="659"/>
    <w:link w:val="670"/>
    <w:uiPriority w:val="99"/>
    <w:semiHidden/>
    <w:unhideWhenUsed/>
    <w:rPr>
      <w:rFonts w:ascii="Tahoma" w:hAnsi="Tahoma" w:cs="Tahoma"/>
      <w:sz w:val="16"/>
      <w:szCs w:val="16"/>
    </w:rPr>
  </w:style>
  <w:style w:type="character" w:styleId="670" w:customStyle="1">
    <w:name w:val="Текст выноски Знак"/>
    <w:basedOn w:val="660"/>
    <w:link w:val="66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hart" Target="charts/chart1.xml" /><Relationship Id="rId10" Type="http://schemas.openxmlformats.org/officeDocument/2006/relationships/chart" Target="charts/chart2.xml" /><Relationship Id="rId11" Type="http://schemas.openxmlformats.org/officeDocument/2006/relationships/chart" Target="charts/chart3.xml" /><Relationship Id="rId12" Type="http://schemas.openxmlformats.org/officeDocument/2006/relationships/chart" Target="charts/chart4.xml" /><Relationship Id="rId13" Type="http://schemas.openxmlformats.org/officeDocument/2006/relationships/hyperlink" Target="https://login.consultant.ru/link/?req=doc&amp;base=LAW&amp;n=453004&amp;dst=1000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/>
                <a:cs typeface="Times New Roman"/>
              </a:rPr>
              <a:t>Динамика лесных пожаров на территории Мошковского лесничества 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 bwMode="auto">
        <a:prstGeom prst="rect">
          <a:avLst/>
        </a:prstGeom>
        <a:noFill/>
        <a:ln>
          <a:noFill/>
          <a:miter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1"/>
                <c:pt idx="0">
                  <c:v xml:space="preserve">Категория 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1"/>
                <c:pt idx="0">
                  <c:v xml:space="preserve">Категория 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1"/>
                <c:pt idx="0">
                  <c:v xml:space="preserve">Категория 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219"/>
        <c:shape val="box"/>
        <c:axId val="101722368"/>
        <c:axId val="101732352"/>
        <c:axId val="98810496"/>
      </c:bar3DChart>
      <c:catAx>
        <c:axId val="10172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32352"/>
        <c:crosses val="autoZero"/>
        <c:auto val="1"/>
        <c:lblAlgn val="ctr"/>
        <c:lblOffset val="100"/>
        <c:noMultiLvlLbl val="0"/>
      </c:catAx>
      <c:valAx>
        <c:axId val="10173235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22368"/>
        <c:crosses val="autoZero"/>
        <c:crossBetween val="between"/>
      </c:valAx>
      <c:serAx>
        <c:axId val="98810496"/>
        <c:scaling>
          <c:orientation val="minMax"/>
        </c:scaling>
        <c:delete val="0"/>
        <c:axPos val="b"/>
        <c:majorTickMark val="out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32352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0" i="0" u="none" strike="noStrike" spc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/>
                <a:cs typeface="Times New Roman"/>
              </a:rPr>
              <a:t>Динамика лесных пожаров на территории лесохозяйственных участков Мошковского лесничества</a:t>
            </a:r>
            <a:endParaRPr/>
          </a:p>
          <a:p>
            <a:pPr marL="0" marR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0" i="0" u="none" strike="noStrike" spc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24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axId val="51540736"/>
        <c:axId val="51542272"/>
      </c:barChart>
      <c:catAx>
        <c:axId val="5154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42272"/>
        <c:crosses val="autoZero"/>
        <c:auto val="1"/>
        <c:lblAlgn val="ctr"/>
        <c:lblOffset val="100"/>
        <c:noMultiLvlLbl val="0"/>
      </c:catAx>
      <c:valAx>
        <c:axId val="5154227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4073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/>
                <a:cs typeface="Times New Roman"/>
              </a:rPr>
              <a:t>Динамика площадей, пройденных</a:t>
            </a:r>
            <a:r>
              <a:rPr lang="ru-RU">
                <a:latin typeface="Times New Roman"/>
                <a:cs typeface="Times New Roman"/>
              </a:rPr>
              <a:t> лесными пожарами на территории Мошковского лесничества</a:t>
            </a:r>
            <a:r>
              <a:rPr lang="ru-RU">
                <a:latin typeface="Times New Roman"/>
                <a:cs typeface="Times New Roman"/>
              </a:rPr>
              <a:t> 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  <c:spPr bwMode="auto">
        <a:prstGeom prst="rect">
          <a:avLst/>
        </a:prstGeom>
        <a:noFill/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1"/>
                <c:pt idx="0">
                  <c:v xml:space="preserve">Мошковское лесничество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1"/>
                <c:pt idx="0">
                  <c:v xml:space="preserve">Мошковское лесничество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127.1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Лист1!$A$2:$A$5</c:f>
              <c:strCache>
                <c:ptCount val="1"/>
                <c:pt idx="0">
                  <c:v xml:space="preserve">Мошковское лесничество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112.5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shape val="box"/>
        <c:axId val="101583104"/>
        <c:axId val="101601280"/>
        <c:axId val="98782272"/>
      </c:bar3DChart>
      <c:catAx>
        <c:axId val="10158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01280"/>
        <c:crosses val="autoZero"/>
        <c:auto val="1"/>
        <c:lblAlgn val="ctr"/>
        <c:lblOffset val="100"/>
        <c:noMultiLvlLbl val="0"/>
      </c:catAx>
      <c:valAx>
        <c:axId val="10160128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83104"/>
        <c:crosses val="autoZero"/>
        <c:crossBetween val="between"/>
      </c:valAx>
      <c:serAx>
        <c:axId val="98782272"/>
        <c:scaling>
          <c:orientation val="minMax"/>
        </c:scaling>
        <c:delete val="0"/>
        <c:axPos val="b"/>
        <c:majorTickMark val="out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01280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/>
                <a:cs typeface="Times New Roman"/>
              </a:rPr>
              <a:t>Динамика площадей,</a:t>
            </a:r>
            <a:r>
              <a:rPr lang="ru-RU">
                <a:latin typeface="Times New Roman"/>
                <a:cs typeface="Times New Roman"/>
              </a:rPr>
              <a:t> пройденных лесными пожарами на территории лесохозяйственных участков Мошковского лесничества</a:t>
            </a:r>
            <a:endParaRPr lang="ru-RU">
              <a:latin typeface="Times New Roman"/>
              <a:cs typeface="Times New Roman"/>
            </a:endParaRPr>
          </a:p>
        </c:rich>
      </c:tx>
      <c:layout>
        <c:manualLayout>
          <c:xMode val="edge"/>
          <c:yMode val="edge"/>
          <c:x val="0.085150"/>
          <c:y val="0.035714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9.4</c:v>
                </c:pt>
                <c:pt idx="2">
                  <c:v>0</c:v>
                </c:pt>
                <c:pt idx="3">
                  <c:v>1.2</c:v>
                </c:pt>
                <c:pt idx="4">
                  <c:v>45.1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9.1</c:v>
                </c:pt>
                <c:pt idx="1">
                  <c:v>2.1</c:v>
                </c:pt>
                <c:pt idx="2">
                  <c:v>4.8</c:v>
                </c:pt>
                <c:pt idx="3">
                  <c:v>12.5</c:v>
                </c:pt>
                <c:pt idx="4">
                  <c:v>98.6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Лист1!$A$2:$A$6</c:f>
              <c:strCache>
                <c:ptCount val="5"/>
                <c:pt idx="0">
                  <c:v xml:space="preserve">Белоярский лесохозяйственный участок</c:v>
                </c:pt>
                <c:pt idx="1">
                  <c:v xml:space="preserve">Кубовинский лесохозяйственный участок</c:v>
                </c:pt>
                <c:pt idx="2">
                  <c:v xml:space="preserve">Мошковский №1 лесохозяйственный участок</c:v>
                </c:pt>
                <c:pt idx="3">
                  <c:v xml:space="preserve">Ояшинский лесохозяйственный участок</c:v>
                </c:pt>
                <c:pt idx="4">
                  <c:v xml:space="preserve">Мошковский №2 лесохозяйственный участок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11.3</c:v>
                </c:pt>
                <c:pt idx="2">
                  <c:v>1.3</c:v>
                </c:pt>
                <c:pt idx="3">
                  <c:v>5.9</c:v>
                </c:pt>
                <c:pt idx="4">
                  <c:v>94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219"/>
        <c:overlap val="-27"/>
        <c:axId val="107225856"/>
        <c:axId val="107227392"/>
      </c:barChart>
      <c:catAx>
        <c:axId val="10722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227392"/>
        <c:crosses val="autoZero"/>
        <c:auto val="1"/>
        <c:lblAlgn val="ctr"/>
        <c:lblOffset val="100"/>
        <c:noMultiLvlLbl val="0"/>
      </c:catAx>
      <c:valAx>
        <c:axId val="10722739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22585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Мошковское</dc:creator>
  <cp:keywords/>
  <dc:description/>
  <cp:revision>29</cp:revision>
  <dcterms:created xsi:type="dcterms:W3CDTF">2024-02-07T04:32:00Z</dcterms:created>
  <dcterms:modified xsi:type="dcterms:W3CDTF">2024-04-15T07:56:10Z</dcterms:modified>
</cp:coreProperties>
</file>