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Шестернин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(должность, фамилия, инициалы)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31"/>
        <w:jc w:val="both"/>
      </w:pPr>
      <w:r/>
      <w:r/>
    </w:p>
    <w:p>
      <w:pPr>
        <w:pStyle w:val="631"/>
        <w:jc w:val="both"/>
      </w:pPr>
      <w:r/>
      <w:r/>
    </w:p>
    <w:p>
      <w:pPr>
        <w:pStyle w:val="631"/>
        <w:jc w:val="both"/>
      </w:pPr>
      <w:r/>
      <w:r/>
    </w:p>
    <w:p>
      <w:pPr>
        <w:pStyle w:val="631"/>
        <w:jc w:val="both"/>
      </w:pPr>
      <w:r/>
      <w:r/>
    </w:p>
    <w:p>
      <w:pPr>
        <w:pStyle w:val="631"/>
        <w:jc w:val="both"/>
      </w:pPr>
      <w:r/>
      <w:r/>
    </w:p>
    <w:p>
      <w:pPr>
        <w:pStyle w:val="631"/>
        <w:jc w:val="both"/>
      </w:pPr>
      <w:r/>
      <w:r/>
    </w:p>
    <w:p>
      <w:pPr>
        <w:pStyle w:val="631"/>
        <w:jc w:val="both"/>
      </w:pPr>
      <w:r/>
      <w:r/>
    </w:p>
    <w:p>
      <w:pPr>
        <w:pStyle w:val="631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blPrEx/>
        <w:trPr/>
        <w:tc>
          <w:tcPr>
            <w:tcW w:w="9070" w:type="dxa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ПЛАН</w:t>
            </w:r>
            <w:r>
              <w:rPr>
                <w:rFonts w:ascii="Times New Roman" w:hAnsi="Times New Roman" w:cs="Times New Roman"/>
                <w:b w:val="0"/>
                <w:bCs w:val="0"/>
                <w:sz w:val="48"/>
                <w:szCs w:val="48"/>
              </w:rPr>
            </w:r>
          </w:p>
          <w:p>
            <w:pPr>
              <w:pStyle w:val="63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противопожарного обустройства лесов на территории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9070" w:type="dxa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Мирновского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лесничества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9070" w:type="dxa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070" w:type="dxa"/>
            <w:textDirection w:val="lrTb"/>
            <w:noWrap w:val="false"/>
          </w:tcPr>
          <w:p>
            <w:pPr>
              <w:pStyle w:val="6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с "01"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024 г. по "31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2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widowControl w:val="off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Мирновское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лесничество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располагается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территории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Тогучинского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района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Новосибирской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области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Общая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площадь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лесничества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составляет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208 930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из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них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200 680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покрытая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лесом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площадь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что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составляет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96%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общей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площади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Рельеф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района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неоднородный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однако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резкой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границы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между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равнинной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предгорной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территориями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существует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Микрорельеф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равнинной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части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территории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района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также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расчленённый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явно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выраженными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пологообразными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повышениями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понижениями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Почвенный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покров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отличается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большим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разнообразием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равнинной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части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лесничества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дюнных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всхолмлённых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преобладают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серые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почвы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лёгкого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среднего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механического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состава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них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формируются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сосновые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берёзово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–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сосновые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насаждения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высокой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производительности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днищам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балок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речным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долинам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распространены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чернозёмно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луговые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почвы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них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произрастают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берёзовые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насаждения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понижениям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почвы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лугово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-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болотные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 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предгорной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части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лесничества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преобладают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дерново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-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глубоко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–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оподзоленные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лессовидные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суглинки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тяжелосуглинистые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почвы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данных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типах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почв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сформировались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высоко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полнотные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насаждения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разнотравных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типов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преобладанием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пихты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или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осины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Климат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района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расположения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лесничества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резко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континентальный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резкими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изменениями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температур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как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между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сезонами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так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течени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суток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целом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комплекс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природно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–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климатических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условий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благоприятствует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произрастанию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таких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древесных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пород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как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сосна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лиственница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берёза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осина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Эти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древесные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породы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образуют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насаждения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высокой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производительности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1-3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классов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бонитета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Из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покрытой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лесом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площади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насаждения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преобладанием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хвойных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пород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деревьев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занимают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площадь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19,4% (38854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.).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Мягко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лиственные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породы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деревьев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занимают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79,7 % (159 869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.),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из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них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    66,4 % (106 231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.)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преобладанием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породы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берёза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Твердолиственные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породы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деревьев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занимают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 (14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.).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Кустарники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прочие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породы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деревьев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занимают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0,9 % (1758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.).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8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Северная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часть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территории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лесничества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(165449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лесохозяйственному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районированию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отнесена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лесостепной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зоне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Западно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–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Сибирского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подтаёжно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–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лесостепного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района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южная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часть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территории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(43424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отнесена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Алтае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-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Саянскому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горнотаежному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району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Южно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-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Сибирской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горной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зоны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8"/>
          <w:szCs w:val="28"/>
          <w:lang w:eastAsia="ru-RU"/>
        </w:rPr>
      </w:pP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Зона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авиационного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обнаружения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наземного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тушения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составляет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195,6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тыс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зона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наземного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обнаружения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тушения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–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 13,3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тыс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га</w:t>
      </w:r>
      <w:r>
        <w:rPr>
          <w:rFonts w:ascii="Times New Roman" w:hAnsi="Liberation Serif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Самое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раннее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возникновение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пожаров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районе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зафиксировано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конце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апреля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средней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продолжительности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пожароопасного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периода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190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дней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площади лесничества по классам природной пожарной опасности  приведено в таблице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Распределение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площади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земель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фонда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лесничества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классам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пожарной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опасности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697"/>
        <w:gridCol w:w="849"/>
        <w:gridCol w:w="849"/>
        <w:gridCol w:w="848"/>
        <w:gridCol w:w="991"/>
        <w:gridCol w:w="850"/>
        <w:gridCol w:w="1697"/>
        <w:gridCol w:w="1559"/>
      </w:tblGrid>
      <w:tr>
        <w:tblPrEx/>
        <w:trPr>
          <w:trHeight w:val="705"/>
        </w:trPr>
        <w:tc>
          <w:tcPr>
            <w:tcBorders>
              <w:top w:val="single" w:color="000001" w:sz="8" w:space="0"/>
              <w:left w:val="single" w:color="000001" w:sz="8" w:space="0"/>
              <w:bottom w:val="none" w:color="000000" w:sz="4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п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/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п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Участковые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лесничества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000001" w:sz="8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43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Площадь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классам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пожарной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опасности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Площадь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лесничества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га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Средний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пожарной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опасности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Рожнёвский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294,1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18,4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95,9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5924,3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432,3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6765,0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Буготакский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132,2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29,6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358,5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5343,3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294,4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6158,0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1038,9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21,6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664,0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8911,8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924,7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11561,0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3,7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Дергоусовский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489,1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12,5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177,0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19106,2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619,2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20404,0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3,8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Курундусский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505,0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36,0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259,1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3850,5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308,4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4959,0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3,7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Коуракский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871,3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54,6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1797,3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14682,9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879,9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18286,0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3,8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Мокрушинский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64,9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12,3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581,7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16095,9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1809,2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18564,0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4,1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Мирновский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279,8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 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289,1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11472,8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543,3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12585,0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Которовский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1139,6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 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128,6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10256,3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750,5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12275,0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3,8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Долговский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155,3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 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669,5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53156,5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56,7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54095,0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5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Коуракский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123,3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29,6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716,9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42381,7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26,5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43278,0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000000"/>
                <w:sz w:val="20"/>
                <w:szCs w:val="24"/>
                <w:lang w:eastAsia="ru-RU"/>
              </w:rPr>
              <w:t xml:space="preserve">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2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: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5093,5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214,6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5737,6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191182,2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6645,1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6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208930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1" w:sz="8" w:space="0"/>
              <w:right w:val="single" w:color="000001" w:sz="8" w:space="0"/>
            </w:tcBorders>
            <w:tcMar>
              <w:left w:w="108" w:type="dxa"/>
              <w:right w:w="10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3,9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</w:tbl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Организация, осуществляющая работы по тушению лесных пожаров и осуществлению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Мирновского</w:t>
      </w:r>
      <w:r>
        <w:rPr>
          <w:rFonts w:ascii="Times New Roman" w:hAnsi="Times New Roman" w:cs="Times New Roman"/>
          <w:sz w:val="28"/>
          <w:szCs w:val="28"/>
        </w:rPr>
        <w:t xml:space="preserve"> лесничества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ГАУ НСО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Тогучинский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>
        <w:rPr>
          <w:rFonts w:ascii="Times New Roman" w:hAnsi="Times New Roman" w:cs="Times New Roman"/>
          <w:sz w:val="28"/>
          <w:szCs w:val="28"/>
        </w:rPr>
        <w:t xml:space="preserve">». 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оборудовано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ЛПС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ЛПС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укомплектованные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30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Противопожарное обустройство лесов на территории лесничества (лесопарка)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426"/>
        <w:jc w:val="both"/>
        <w:spacing w:after="0" w:line="240" w:lineRule="auto"/>
        <w:tabs>
          <w:tab w:val="left" w:pos="426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дороги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предназначенные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для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охраны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лесов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от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пожаров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833"/>
        <w:gridCol w:w="2097"/>
        <w:gridCol w:w="2977"/>
        <w:gridCol w:w="1449"/>
      </w:tblGrid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/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Местоположение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участковое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лесничество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кварталы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Состояние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протяженность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Лицо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ответственное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за объект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Примечание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Буготакский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  лесохозяйственный участок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 1-53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(исходная точка кв.1;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конечная точка кв.53)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118,0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Дорога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грунтовая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использовани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дорог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апрель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ноябрь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Мосты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водные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переправы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отсутствуют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выпадении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атмосферных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осадков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более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низких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участках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дороги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возможно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подтопление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как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следствие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распутицы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увязании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транспортных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жидком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грунте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Ограничений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специальной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техники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использовании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дороги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1-64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.1;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.64)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124,0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65-98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.65;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.98)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122,0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Рожнёвский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1-59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.1;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.59)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71,0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1150"/>
        </w:trPr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Дергоусовский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1-82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.1;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.82)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119,0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vAlign w:val="center"/>
            <w:textDirection w:val="lrTb"/>
            <w:noWrap w:val="false"/>
          </w:tcPr>
          <w:p>
            <w:pPr>
              <w:ind w:firstLine="4"/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Мокрушенский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1-51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.1;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.51)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121,0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Курундусский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1-35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.1;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.35)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82,0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Которовский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1-38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.1;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.38)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97,0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Мирновский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1-28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.1;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.28)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60,0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Мирновский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29-61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.29;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.61)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64,0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Коуракский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1-52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.1;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.52)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58,0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Коуракский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лесохозяйственный 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53-98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исходная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.53;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конечная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точка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.98)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64,0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sz w:val="20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4"/>
                <w:lang w:eastAsia="ru-RU"/>
              </w:rPr>
              <w:t xml:space="preserve">: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1100,0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8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sz w:val="20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4"/>
                <w:lang w:eastAsia="ru-RU"/>
              </w:rPr>
              <w:t xml:space="preserve">: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sz w:val="20"/>
                <w:szCs w:val="20"/>
                <w:lang w:eastAsia="ru-RU"/>
              </w:rPr>
              <w:t xml:space="preserve">1100,0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Ограничений для специальной техники при использовании дорог – нет.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567"/>
        <w:jc w:val="both"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Посадочные площадки для самолетов и вертолетов, используемых в целях проведения авиационных работ по охране и защите лесов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"/>
        <w:gridCol w:w="2538"/>
        <w:gridCol w:w="1842"/>
        <w:gridCol w:w="1701"/>
        <w:gridCol w:w="1701"/>
        <w:gridCol w:w="1418"/>
      </w:tblGrid>
      <w:tr>
        <w:tblPrEx/>
        <w:trPr/>
        <w:tc>
          <w:tcPr>
            <w:tcW w:w="7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(географические координаты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, ближайший населенный пункт)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Тип воздушного судна, которое может осуществлять приземление, взлет</w:t>
            </w:r>
            <w:r>
              <w:rPr>
                <w:rFonts w:ascii="Times New Roman" w:hAnsi="Times New Roman" w:cs="Times New Roman"/>
                <w:spacing w:val="-1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посадочной площадки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</w:t>
            </w:r>
            <w:r>
              <w:rPr>
                <w:rFonts w:ascii="Times New Roman" w:hAnsi="Times New Roman" w:cs="Times New Roman"/>
                <w:spacing w:val="-10"/>
              </w:rPr>
              <w:t xml:space="preserve">ответственное</w:t>
            </w:r>
            <w:r>
              <w:rPr>
                <w:rFonts w:ascii="Times New Roman" w:hAnsi="Times New Roman" w:cs="Times New Roman"/>
              </w:rPr>
              <w:t xml:space="preserve"> за объект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</w:t>
            </w:r>
            <w:r>
              <w:rPr>
                <w:rFonts w:ascii="Times New Roman" w:hAnsi="Times New Roman" w:cs="Times New Roman"/>
              </w:rPr>
              <w:t xml:space="preserve">чание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5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contextualSpacing/>
        <w:ind w:firstLine="567"/>
        <w:jc w:val="both"/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Мирновского</w:t>
      </w:r>
      <w:r>
        <w:rPr>
          <w:rFonts w:ascii="Times New Roman" w:hAnsi="Times New Roman" w:cs="Times New Roman"/>
          <w:sz w:val="28"/>
          <w:szCs w:val="28"/>
        </w:rPr>
        <w:t xml:space="preserve"> лесничества площадки для самолетов и вертолетов, используемых в целях проведения авиационных работ по охране и защите лесов нет.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425"/>
        <w:jc w:val="both"/>
        <w:spacing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Просеки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противопожарные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разрывы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противопожарные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минерализованные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полосы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1673"/>
        <w:gridCol w:w="5387"/>
        <w:gridCol w:w="1417"/>
        <w:gridCol w:w="1057"/>
      </w:tblGrid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387" w:type="dxa"/>
            <w:vAlign w:val="center"/>
            <w:textDirection w:val="lrTb"/>
            <w:noWrap w:val="false"/>
          </w:tcPr>
          <w:p>
            <w:pPr>
              <w:ind w:left="-142"/>
              <w:jc w:val="center"/>
              <w:spacing w:after="0" w:line="240" w:lineRule="auto"/>
              <w:tabs>
                <w:tab w:val="left" w:pos="425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6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объекта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3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Местоположение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участковое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лесничество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 выдел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Лицо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ответственное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за объект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0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Примечание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74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sz w:val="20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Liberation Serif" w:eastAsia="Times New Roman" w:cs="Times New Roman"/>
                <w:b/>
                <w:sz w:val="20"/>
                <w:szCs w:val="24"/>
                <w:lang w:eastAsia="ru-RU"/>
              </w:rPr>
              <w:t xml:space="preserve">: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b/>
                <w:sz w:val="20"/>
                <w:szCs w:val="24"/>
                <w:lang w:eastAsia="ru-RU"/>
              </w:rPr>
              <w:t xml:space="preserve">520,0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67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Устройство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противопожарных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минерализованных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полос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прочистка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просек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уход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за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противопожарными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разрывами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538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Лесохозяйственный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4, 3, 71, 72, 73,74, 75, 17, 27, 32, 50, 51, 83, 60, 90, 89, 66, 68,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4, 7, 2, 9, 10, 12, 25, 61, 44, 89, 62, 90, 66, 91, 65, 92, 64, 73,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12, 13, 14, 8, 3, 2, 1, 4, 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2, 1, 4, 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9, 8, 15, 16, 17, 23, 24, 25,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2, 4, 7, 15, 16,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4, 6, 7, 8, 9, 10, 11, 12, 29, 36, 40, 39, 44, 49, 48, 50, 58,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91, 90, 92, 4, 93, 6, 9, 10, 11, 12, 13, 14, 15, 24, 96, 97, 102, 58, 60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61, 73, 82,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18, 23, 24, 25, 19, 9, 8, 6, 1, 2, 3, 5, 12, 11, 17, 16, 28, 52, 36, 46, 44,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8, 16, 11, 15, 29, 43, 42, 58, 68, 75, 101, 77, 80, 102, 91, 88, 84, 78,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36, 30, 50, 37,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52, 42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47, 44, 41, 38,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7, 41, 2, 4, 1, 13, 5, 27, 9, 44, 35, 8, 36, 10, 31, 43, 39, 15, 17, 24, 23, 33, 20, 18,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5, 6, 7, 17, 22, 20,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7, 12, 13, 8, 26, 45, 44, 43, 42, 40, 20, 21, 48, 47, 33, 37, 36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38, 34,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2, 3, 6, 7, 11, 38, 15, 25, 23, 26, 27, 28, 50, 19, 4, 16, 19, 45, 46, 13, 40, 18, 21, 32, 34, 31,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3, 4, 12, 13, 21, 24, 26, 27, 22, 17, 16, 15, 40, 34, 45, 46, 47, 49, 38, 36, 35,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16, 108, 4, 42, 6, 11, 43, 44, 13, 15, 14, 51, 52, 31, 32, 39, 33, 26, 20, 21, 48, 22, 23, 27, 29, 30, 28,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3, 9, 10, 18, 24, 25, 26, 30, 33, 61, 45, 62,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4, 5, 7, 37, 38, 21, 20, 29, 32,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41, 42, 45,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6, 37, 11, 17, 25, 29, 31, 27, 33, 30, 26, 20, 19, 43, 18,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7, 6, 5, 4, 3, 12, 1, 2, 14, 33, 35, 34, 40, 47, 57, 59, 65, 67, 73,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76, 75, 68, 69, 59,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41,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27, 65, 57, 70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61, 62, 66, 47, 46, 45, 40, 35, 68, 25, 23, 19, 11, 9, 10,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40,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5, 13, 20, 28, 29, 37, 42, 47, 48, 49, 56,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3, 4, 16, 26, 25, 27, 28, 36, 37, 49,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15, 16, 28, 12, 5, 3, 2, 1, 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18, 7, 5, 14,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64,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39, 40, 38, 59, 36, 37, 35, 72, 18, 62, 20, 11, 13,  28, 53, 2, 3, 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65,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7, 6, 5, 9, 8, 14, 30, 31, 36, 37,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67,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40, 20, 21, 27, 36, 37,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68,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2, 9, 17, 18, 69, 29, 28, 40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70,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7, 8, 17, 28, 85, 51, 55, 56, 58, 59, 75,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69,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56, 75, 44, 50, 51, 42, 55, 57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Коуракский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Лесохозяйственный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256,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4, 6, 12, 13, 14, 15,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252,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44, 46, 37, 38, 45,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255,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8, 9, 16, 17,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253,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2, 4, 5, 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1-8, 11, 12, 14, 24, 28, 25, 26, 27, 30, 31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84,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31, 36, 55,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105,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305,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 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8, 14,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304,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15, 3, 16, 12,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306,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13, 14, 15,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336,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2, 3, 4, 5, 6, 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331,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6, 10, 7, 2, 8, 9, 13, 12, 11, 5, 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327,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2, 3, 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2, 7, 8, 9, 10,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27, 55, 56, 54, 58, 60, 61, 62, 49, 47, 63,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26, 29,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391,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9, 35, 10, 38, 16,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379,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22, 23, 24, 25, 27, 12, 30, 28, 29,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380,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28, 29, 30, 31, 32, 33, 34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Дергоусовский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Лесохозяйственный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2, 34,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1, 2, 3, 45,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84,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74,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44,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84, 96,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68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Курундусский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Лесохозяйственный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участок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43,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47,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65,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56, 30, 46, 47, 48,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21, 36, 37, 38, 39, 20,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29, 30, 31, 32, 16,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51, 42, 43, 44, 45, 2, 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35-41, 23,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19,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53-59,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46,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41,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29,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37,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30,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21,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31,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51, 32, 31, 30, 29, 26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39, 23,45,19,20,28,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32,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80, 71, 70, 69, 25, 24, 29, 32,75,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33,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15, 16,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34,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Выделы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: 54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Директор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ГАУ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НСО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«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лесхоз»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Карпов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tcMar>
              <w:left w:w="108" w:type="dxa"/>
              <w:right w:w="108" w:type="dxa"/>
            </w:tcMar>
            <w:tcW w:w="10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520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</w:tbl>
    <w:p>
      <w:pPr>
        <w:contextualSpacing/>
        <w:ind w:firstLine="567"/>
        <w:jc w:val="both"/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8"/>
        <w:jc w:val="both"/>
        <w:spacing w:before="240"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8"/>
        <w:jc w:val="both"/>
        <w:spacing w:before="240"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8"/>
        <w:jc w:val="both"/>
        <w:spacing w:before="240"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8"/>
        <w:jc w:val="both"/>
        <w:spacing w:before="240"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8"/>
        <w:jc w:val="both"/>
        <w:spacing w:before="240"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8"/>
        <w:jc w:val="both"/>
        <w:spacing w:before="240"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Пожарные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водоемы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подъезды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к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источникам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противопожарного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водоснабжения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tbl>
      <w:tblPr>
        <w:tblW w:w="9920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1837"/>
        <w:gridCol w:w="1695"/>
        <w:gridCol w:w="1884"/>
        <w:gridCol w:w="1418"/>
        <w:gridCol w:w="1927"/>
        <w:gridCol w:w="849"/>
      </w:tblGrid>
      <w:tr>
        <w:tblPrEx/>
        <w:trPr>
          <w:trHeight w:val="2705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объекта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Местоположение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географические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координаты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ближайший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населенный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пункт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участковое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лесничество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 выдел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Характеристики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объекта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–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объем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 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авиационными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–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глубина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площадка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работы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воздушного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судна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–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размеры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Состояние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противо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пожарного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водоема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 подъезда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 источнику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водоснабжения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Лицо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ответственное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за объект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Примечание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(естественная,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забора воды наземными средствами)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Река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Фролиха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Мирновский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с\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Мирный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N 54 43 40,69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084 44 57,00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ограниченно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Подъезд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есть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пожароопасный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сезон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Директор ГАУ НСО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Тогучинский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лесхоз»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Карпов А.А.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Подъезд осуществляется по грунтовым дорогам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2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(естественная,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забора воды наземными средствами)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Река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Карнайка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Гутовский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с\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д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Ковалевка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N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55 17 52,06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084 13 28,17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ограниченно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Подъезд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есть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пожароопасный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сезон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Глава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Колесников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Н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Подъезд осуществляется по грунтовым дорогам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(естественная,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забора воды наземными средствами)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Река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Буготак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-Каменский  с\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Усть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-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Каменка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N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54 59 47.76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083 51 13,84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ограниченно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Подъезд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есть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пожароопасный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сезон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Глава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Сысоева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Подъезд осуществляется по грунтовым дорогам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4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(естественная,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забора воды наземными средствами)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Река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Колтырак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Степногутовский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с\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Мокрушино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N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54 45 34.17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084 52 01,53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ограниченно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Подъезд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есть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пожароопасный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сезон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Глава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Гришин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Подъезд осуществляется по грунтовым дорогам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(искусственная пригодная для забора воды наземными средствами)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Система водоснабжения с пожарным гидрантом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Киикский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с\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Боровое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N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55 14 31,81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084 43 15,88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150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vertAlign w:val="superscript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Подъезд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есть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пожароопасный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сезон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Глава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Клюшниченко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Подъезд осуществляется по грунтовым дорогам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(естественная,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забора воды наземными средствами)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Река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Коурак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Коуракский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с\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Коурак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N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54 49 51,06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084 39 55,01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ограниченно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Подъезд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есть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пожароопасный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сезон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Глава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Слотин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Подъезд осуществляется по грунтов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ым дорогам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7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(естественная,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забора воды наземными средствами)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Река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Маматынь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Гутовский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с\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Янченково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N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55 17 16,53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084 15 49,63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ограниченно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Подъезд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есть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пожароопасный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сезон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Глава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Колесников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Н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Подъезд осуществляется по грунтовым дорогам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8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(естественная,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забора воды наземными средствами)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Река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Куделька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Тогучин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Юбилейная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N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55 13 69,1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val="en-US" w:eastAsia="ru-RU"/>
              </w:rPr>
              <w:t xml:space="preserve">E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084 24 49,5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ограниченно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пригодная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для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забора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воды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наземными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средствами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Удовлетворительное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Подъезд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есть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пожароопасный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сезон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hAnsi="Liberation Serif" w:eastAsia="Times New Roman" w:cs="Times New Roman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Глава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г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Тогучин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Борутенко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.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Подъезд осуществляется по грунтовым дорогам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tLeast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color w:val="ff0000"/>
                <w:sz w:val="20"/>
                <w:szCs w:val="24"/>
                <w:lang w:eastAsia="ru-RU"/>
              </w:rPr>
            </w:r>
            <w:r>
              <w:rPr>
                <w:rFonts w:ascii="Times New Roman" w:hAnsi="Liberation Serif" w:eastAsia="Times New Roman" w:cs="Times New Roman"/>
                <w:color w:val="ff0000"/>
                <w:sz w:val="20"/>
                <w:szCs w:val="24"/>
                <w:lang w:eastAsia="ru-RU"/>
              </w:rPr>
            </w:r>
          </w:p>
        </w:tc>
      </w:tr>
    </w:tbl>
    <w:p>
      <w:pPr>
        <w:ind w:firstLine="426"/>
        <w:spacing w:before="240"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0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2.6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Работы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гидромелиорации</w:t>
      </w:r>
      <w:r>
        <w:rPr>
          <w:rFonts w:ascii="Times New Roman" w:hAnsi="Liberation Serif" w:eastAsia="Times New Roman" w:cs="Times New Roman"/>
          <w:sz w:val="20"/>
          <w:szCs w:val="24"/>
          <w:lang w:eastAsia="ru-RU"/>
        </w:rPr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119"/>
        <w:gridCol w:w="1979"/>
        <w:gridCol w:w="1272"/>
        <w:gridCol w:w="1271"/>
        <w:gridCol w:w="1271"/>
        <w:gridCol w:w="1415"/>
      </w:tblGrid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5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№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2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Место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(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участковое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лесничество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квартал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 выдел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)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Единица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измерения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Объем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Срок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исполнения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  <w:tab w:val="left" w:pos="2228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Лицо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ответственное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за осуществление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5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-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2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-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-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-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-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-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28" w:type="dxa"/>
              <w:right w:w="28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  <w:t xml:space="preserve">-</w:t>
            </w:r>
            <w:r>
              <w:rPr>
                <w:rFonts w:ascii="Times New Roman" w:hAnsi="Liberation Serif" w:eastAsia="Times New Roman" w:cs="Times New Roman"/>
                <w:sz w:val="20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4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Примечание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Лесохозяйственным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регламентом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Мирновского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лесничества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работы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гидромелиорации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не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предусмотрены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4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 2.7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Снижение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природной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пожарной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опасности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лесов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путем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регулирования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породного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состава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лесных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насаждений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4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Примечание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Лесохозяйственным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регламентом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Мирновского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лесничества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работы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регулированию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породного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состава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лесных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насаждений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не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предусмотрены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         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</w:r>
    </w:p>
    <w:p>
      <w:pPr>
        <w:jc w:val="both"/>
        <w:rPr>
          <w:rFonts w:ascii="Calibri" w:hAnsi="Calibri" w:eastAsia="Calibri" w:cs="Tahoma"/>
          <w:color w:val="00000a"/>
          <w:sz w:val="28"/>
          <w:szCs w:val="28"/>
        </w:rPr>
      </w:pPr>
      <w:r>
        <w:rPr>
          <w:rFonts w:ascii="Times New Roman" w:hAnsi="Times New Roman" w:eastAsia="Calibri" w:cs="Times New Roman"/>
          <w:color w:val="00000a"/>
          <w:sz w:val="28"/>
          <w:szCs w:val="28"/>
        </w:rPr>
        <w:t xml:space="preserve">          2.8.</w:t>
      </w:r>
      <w:r>
        <w:rPr>
          <w:rFonts w:ascii="Calibri" w:hAnsi="Calibri" w:eastAsia="Calibri" w:cs="Tahoma"/>
          <w:color w:val="00000a"/>
          <w:sz w:val="28"/>
          <w:szCs w:val="28"/>
        </w:rPr>
        <w:t xml:space="preserve"> </w:t>
      </w:r>
      <w:bookmarkStart w:id="0" w:name="__DdeLink__3682_306998268"/>
      <w:r>
        <w:rPr>
          <w:rFonts w:ascii="Times New Roman" w:hAnsi="Times New Roman" w:eastAsia="Calibri" w:cs="Times New Roman"/>
          <w:color w:val="00000a"/>
          <w:sz w:val="28"/>
          <w:szCs w:val="28"/>
        </w:rPr>
        <w:t xml:space="preserve">Проведение профилактических контролируемых противопожарных выжиганий хвороста, лесной подстилки, сухой травы и других лесных горючих материалов</w:t>
      </w:r>
      <w:bookmarkEnd w:id="0"/>
      <w:r>
        <w:rPr>
          <w:rFonts w:ascii="Times New Roman" w:hAnsi="Times New Roman" w:eastAsia="Calibri" w:cs="Times New Roman"/>
          <w:color w:val="00000a"/>
          <w:sz w:val="28"/>
          <w:szCs w:val="28"/>
        </w:rPr>
        <w:t xml:space="preserve">, включая информацию об их территориальном размещении, площадных объемах, а также о мероприятиях по обеспечению безопасности выжиганий.</w:t>
      </w:r>
      <w:r>
        <w:rPr>
          <w:rFonts w:ascii="Calibri" w:hAnsi="Calibri" w:eastAsia="Calibri" w:cs="Tahoma"/>
          <w:color w:val="00000a"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</w:r>
    </w:p>
    <w:tbl>
      <w:tblPr>
        <w:tblpPr w:horzAnchor="text" w:tblpXSpec="left" w:vertAnchor="text" w:tblpY="1" w:leftFromText="180" w:topFromText="0" w:rightFromText="180" w:bottomFromText="0"/>
        <w:tblW w:w="949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430"/>
        <w:gridCol w:w="1478"/>
        <w:gridCol w:w="773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851"/>
      </w:tblGrid>
      <w:tr>
        <w:tblPrEx/>
        <w:trPr>
          <w:trHeight w:val="431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Наименование лесничества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Единица измерения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2024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2025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2026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2027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2028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Мирновское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</w:rPr>
              <w:t xml:space="preserve">Проведение профилактических контролируемых противопожарных выжиганий хвороста, лесной </w:t>
            </w:r>
            <w:r>
              <w:rPr>
                <w:rFonts w:ascii="Times New Roman" w:hAnsi="Times New Roman" w:eastAsia="Calibri" w:cs="Times New Roman"/>
                <w:color w:val="00000a"/>
              </w:rPr>
              <w:t xml:space="preserve">подстилки, сухой травы и других лесных горючих материалов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км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270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252,98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270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270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270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270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</w:tr>
    </w:tbl>
    <w:p>
      <w:pPr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</w:r>
    </w:p>
    <w:p>
      <w:pPr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2.9.</w:t>
      </w:r>
      <w:r>
        <w:rPr>
          <w:rFonts w:ascii="Calibri" w:hAnsi="Calibri" w:eastAsia="Calibri" w:cs="Tahoma"/>
          <w:color w:val="00000a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Прочистка просек, прочистка противопожарных минерализованных полос и их обновление: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</w:r>
    </w:p>
    <w:tbl>
      <w:tblPr>
        <w:tblW w:w="10012" w:type="dxa"/>
        <w:tblInd w:w="-3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430"/>
        <w:gridCol w:w="1010"/>
        <w:gridCol w:w="709"/>
        <w:gridCol w:w="626"/>
        <w:gridCol w:w="869"/>
        <w:gridCol w:w="549"/>
        <w:gridCol w:w="850"/>
        <w:gridCol w:w="425"/>
        <w:gridCol w:w="851"/>
        <w:gridCol w:w="425"/>
        <w:gridCol w:w="992"/>
        <w:gridCol w:w="426"/>
        <w:gridCol w:w="850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Наименование лесничества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0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Единица измерения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6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2024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2025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2026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2027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2028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</w:tr>
      <w:tr>
        <w:tblPrEx/>
        <w:trPr>
          <w:trHeight w:val="29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3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Мирновское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0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Прочистка просек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6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44,22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44,22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44,22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44,22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44,22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</w:tr>
      <w:tr>
        <w:tblPrEx/>
        <w:trPr>
          <w:trHeight w:val="1150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3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Calibri" w:hAnsi="Calibri" w:eastAsia="Calibri" w:cs="Tahoma"/>
                <w:color w:val="00000a"/>
              </w:rPr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0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Прочистка противопожарных минерализованных полос и их обновление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6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805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5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805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805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805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805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626,93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</w:tr>
    </w:tbl>
    <w:p>
      <w:pPr>
        <w:jc w:val="both"/>
        <w:spacing w:before="240"/>
        <w:rPr>
          <w:rFonts w:ascii="Calibri" w:hAnsi="Calibri" w:eastAsia="Calibri" w:cs="Tahoma"/>
          <w:color w:val="00000a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2.10. Эксплуатация пожарных водоемов и подъездов к источникам водоснабжения</w:t>
      </w:r>
      <w:r>
        <w:rPr>
          <w:rFonts w:ascii="Times New Roman" w:hAnsi="Times New Roman" w:eastAsia="Calibri" w:cs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Лесным планом Новосибирской области на территории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Мирновского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лесничества не предусмотрено.</w:t>
      </w:r>
      <w:r>
        <w:rPr>
          <w:rFonts w:ascii="Calibri" w:hAnsi="Calibri" w:eastAsia="Calibri" w:cs="Tahoma"/>
          <w:color w:val="00000a"/>
        </w:rPr>
      </w:r>
    </w:p>
    <w:p>
      <w:pPr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2.11. Благоустройство зон отдыха граждан, пребывающих в лесах в соответствии со статьей 11 Лесного кодекса Российской Федерации:</w:t>
      </w:r>
      <w:r>
        <w:rPr>
          <w:rFonts w:ascii="Times New Roman" w:hAnsi="Times New Roman" w:eastAsia="Calibri" w:cs="Times New Roman"/>
          <w:color w:val="00000a"/>
          <w:sz w:val="28"/>
          <w:szCs w:val="24"/>
        </w:rPr>
      </w:r>
    </w:p>
    <w:tbl>
      <w:tblPr>
        <w:tblW w:w="9811" w:type="dxa"/>
        <w:tblInd w:w="-3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430"/>
        <w:gridCol w:w="727"/>
        <w:gridCol w:w="708"/>
        <w:gridCol w:w="426"/>
        <w:gridCol w:w="708"/>
        <w:gridCol w:w="426"/>
        <w:gridCol w:w="708"/>
        <w:gridCol w:w="567"/>
        <w:gridCol w:w="851"/>
        <w:gridCol w:w="709"/>
        <w:gridCol w:w="850"/>
        <w:gridCol w:w="709"/>
        <w:gridCol w:w="992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3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Наименование лесничества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2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</w:tr>
      <w:tr>
        <w:tblPrEx/>
        <w:trPr>
          <w:trHeight w:val="926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430" w:type="dxa"/>
            <w:textDirection w:val="lrTb"/>
            <w:noWrap w:val="false"/>
          </w:tcPr>
          <w:p>
            <w:pPr>
              <w:jc w:val="both"/>
              <w:spacing w:before="240" w:after="0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Мирновское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27" w:type="dxa"/>
            <w:textDirection w:val="lrTb"/>
            <w:noWrap w:val="false"/>
          </w:tcPr>
          <w:p>
            <w:pPr>
              <w:jc w:val="both"/>
              <w:spacing w:before="240"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Благоустройство зон отдыха граждан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8" w:type="dxa"/>
            <w:textDirection w:val="lrTb"/>
            <w:noWrap w:val="false"/>
          </w:tcPr>
          <w:p>
            <w:pPr>
              <w:jc w:val="both"/>
              <w:spacing w:before="240"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6" w:type="dxa"/>
            <w:textDirection w:val="lrTb"/>
            <w:noWrap w:val="false"/>
          </w:tcPr>
          <w:p>
            <w:pPr>
              <w:jc w:val="both"/>
              <w:spacing w:before="240" w:after="0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8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58,86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6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8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58,86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567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before="240"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58,86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both"/>
              <w:spacing w:before="240" w:after="0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0" w:type="dxa"/>
            <w:textDirection w:val="lrTb"/>
            <w:noWrap w:val="false"/>
          </w:tcPr>
          <w:p>
            <w:pPr>
              <w:jc w:val="both"/>
              <w:spacing w:before="240"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58,86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both"/>
              <w:spacing w:before="240" w:after="0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both"/>
              <w:spacing w:before="240" w:after="0"/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  <w:t xml:space="preserve">58,86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0"/>
              </w:rPr>
            </w:r>
          </w:p>
        </w:tc>
      </w:tr>
    </w:tbl>
    <w:p>
      <w:pPr>
        <w:jc w:val="both"/>
        <w:spacing w:before="240"/>
        <w:rPr>
          <w:rFonts w:ascii="Calibri" w:hAnsi="Calibri" w:eastAsia="Calibri" w:cs="Tahoma"/>
          <w:color w:val="00000a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2.12. Установка и эксплуатация шлагбаумов, устройство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преград, обеспечивающих ограничение пребывания граждан в лесах в целях обеспечения пожарной безопасности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Лесным планом Новосибирской области на территории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Мирновского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лесничества не предусмотрено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</w:t>
      </w:r>
      <w:r>
        <w:rPr>
          <w:rFonts w:ascii="Calibri" w:hAnsi="Calibri" w:eastAsia="Calibri" w:cs="Tahoma"/>
          <w:color w:val="00000a"/>
        </w:rPr>
      </w:r>
    </w:p>
    <w:p>
      <w:pPr>
        <w:jc w:val="both"/>
        <w:rPr>
          <w:rFonts w:ascii="Calibri" w:hAnsi="Calibri" w:eastAsia="Calibri" w:cs="Tahoma"/>
          <w:color w:val="00000a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2.13.</w:t>
      </w:r>
      <w:r>
        <w:rPr>
          <w:rFonts w:ascii="Calibri" w:hAnsi="Calibri" w:eastAsia="Calibri" w:cs="Tahoma"/>
          <w:color w:val="00000a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Создание и содержание противопожарных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заслонов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и устройство лиственных опушек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Лесным планом Новосибирской области на территории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Мирновского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лесничества не предусмотрено.</w:t>
      </w:r>
      <w:r>
        <w:rPr>
          <w:rFonts w:ascii="Calibri" w:hAnsi="Calibri" w:eastAsia="Calibri" w:cs="Tahoma"/>
          <w:color w:val="00000a"/>
        </w:rPr>
      </w:r>
    </w:p>
    <w:p>
      <w:pPr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2.14. Установка и размещение стендов и других знаков и указателей, содержащих информацию о мерах пожарной безопасности в лесах: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</w:r>
    </w:p>
    <w:tbl>
      <w:tblPr>
        <w:tblW w:w="9781" w:type="dxa"/>
        <w:tblInd w:w="-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212"/>
        <w:gridCol w:w="1056"/>
        <w:gridCol w:w="709"/>
        <w:gridCol w:w="425"/>
        <w:gridCol w:w="851"/>
        <w:gridCol w:w="425"/>
        <w:gridCol w:w="851"/>
        <w:gridCol w:w="425"/>
        <w:gridCol w:w="709"/>
        <w:gridCol w:w="425"/>
        <w:gridCol w:w="992"/>
        <w:gridCol w:w="709"/>
        <w:gridCol w:w="992"/>
      </w:tblGrid>
      <w:tr>
        <w:tblPrEx/>
        <w:trPr>
          <w:trHeight w:val="443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21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Наименование лесничества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05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2024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2025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2026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2027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2028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</w:tr>
      <w:tr>
        <w:tblPrEx/>
        <w:trPr>
          <w:trHeight w:val="2532"/>
        </w:trPr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21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Мирновское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105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Установка и размещение стендов и других знаков и указателей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шт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42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256,03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42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256,03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42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256,03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42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256,03</w:t>
            </w: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70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Calibri" w:hAnsi="Calibri" w:eastAsia="Calibri" w:cs="Tahoma"/>
                <w:color w:val="00000a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42</w:t>
            </w:r>
            <w:r>
              <w:rPr>
                <w:rFonts w:ascii="Calibri" w:hAnsi="Calibri" w:eastAsia="Calibri" w:cs="Tahoma"/>
                <w:color w:val="00000a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73" w:type="dxa"/>
            </w:tcMar>
            <w:tcW w:w="99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  <w:t xml:space="preserve">256,03</w:t>
            </w:r>
            <w:bookmarkStart w:id="1" w:name="_GoBack"/>
            <w:r/>
            <w:bookmarkEnd w:id="1"/>
            <w:r/>
            <w:r>
              <w:rPr>
                <w:rFonts w:ascii="Times New Roman" w:hAnsi="Times New Roman" w:eastAsia="Calibri" w:cs="Times New Roman"/>
                <w:color w:val="00000a"/>
                <w:sz w:val="20"/>
                <w:szCs w:val="24"/>
              </w:rPr>
            </w:r>
          </w:p>
        </w:tc>
      </w:tr>
    </w:tbl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Liberation Serif" w:eastAsia="Times New Roman" w:cs="Times New Roman"/>
          <w:sz w:val="24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</w:r>
      <w:r>
        <w:rPr>
          <w:rFonts w:ascii="Times New Roman" w:hAnsi="Liberation Serif" w:eastAsia="Times New Roman" w:cs="Times New Roman"/>
          <w:sz w:val="24"/>
          <w:szCs w:val="24"/>
          <w:lang w:eastAsia="ru-RU"/>
        </w:rPr>
      </w:r>
    </w:p>
    <w:p>
      <w:pPr>
        <w:jc w:val="both"/>
        <w:spacing w:before="240" w:after="200"/>
        <w:rPr>
          <w:rFonts w:ascii="Times New Roman" w:hAnsi="Liberation Serif" w:eastAsia="Times New Roman" w:cs="Times New Roman"/>
          <w:sz w:val="28"/>
          <w:szCs w:val="24"/>
          <w:lang w:eastAsia="ru-RU"/>
        </w:rPr>
      </w:pP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 Графическая часть плана противопожарного обустройства лесов</w:t>
      </w:r>
      <w:r/>
      <w:r>
        <w:rPr>
          <w:rFonts w:ascii="Times New Roman" w:hAnsi="Liberation Serif" w:eastAsia="Times New Roman" w:cs="Times New Roman"/>
          <w:sz w:val="28"/>
          <w:szCs w:val="24"/>
          <w:lang w:eastAsia="ru-RU"/>
        </w:rPr>
        <w:t xml:space="preserve"> (прилагается)</w:t>
      </w:r>
      <w:r>
        <w:rPr>
          <w:rFonts w:ascii="Times New Roman" w:hAnsi="Liberation Serif" w:eastAsia="Times New Roman" w:cs="Times New Roman"/>
          <w:sz w:val="28"/>
          <w:szCs w:val="24"/>
          <w:lang w:eastAsia="ru-RU"/>
        </w:rPr>
      </w:r>
    </w:p>
    <w:p>
      <w:pPr>
        <w:jc w:val="both"/>
        <w:spacing w:before="24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274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spacing w:after="160" w:line="259" w:lineRule="auto"/>
    </w:p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32">
    <w:name w:val="List Paragraph"/>
    <w:basedOn w:val="627"/>
    <w:uiPriority w:val="34"/>
    <w:qFormat/>
    <w:pPr>
      <w:contextualSpacing/>
      <w:ind w:left="720"/>
    </w:pPr>
  </w:style>
  <w:style w:type="paragraph" w:styleId="633" w:customStyle="1">
    <w:name w:val="Heading"/>
    <w:uiPriority w:val="99"/>
    <w:pPr>
      <w:spacing w:after="0" w:line="240" w:lineRule="auto"/>
    </w:pPr>
    <w:rPr>
      <w:rFonts w:ascii="Arial" w:hAnsi="Arial" w:eastAsia="Calibri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dlh-bol</dc:creator>
  <cp:revision>11</cp:revision>
  <dcterms:created xsi:type="dcterms:W3CDTF">2024-04-04T04:36:00Z</dcterms:created>
  <dcterms:modified xsi:type="dcterms:W3CDTF">2024-04-15T07:53:37Z</dcterms:modified>
</cp:coreProperties>
</file>