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Шестернин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(должность, фамилия, инициалы)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4"/>
        <w:gridCol w:w="833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противопожарного обустройства лесов на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Маслянинского лесничества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(наименование лесничества)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период с "__" _______ 2___ г. по "__" _______ 2___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57"/>
              <w:jc w:val="center"/>
              <w:rPr>
                <w:highlight w:val="none"/>
              </w:rPr>
              <w:outlineLvl w:val="1"/>
            </w:pPr>
            <w:r>
              <w:t xml:space="preserve">I. Краткая характеристика лесничества</w:t>
            </w:r>
            <w:r/>
          </w:p>
        </w:tc>
      </w:tr>
      <w:tr>
        <w:tblPrEx/>
        <w:trPr>
          <w:trHeight w:val="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1.1.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Общая характеристика лесов на территории лесничества (лесопарка).</w:t>
            </w:r>
            <w:r>
              <w:rPr>
                <w:rFonts w:eastAsia="Times New Roman" w:cstheme="minorHAnsi"/>
                <w:lang w:eastAsia="ru-RU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567" w:leader="none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Общая площадь территории лесничества по состоянию на 01.01.20</w:t>
            </w:r>
            <w:r>
              <w:rPr>
                <w:rFonts w:eastAsia="Calibri" w:cstheme="minorHAnsi"/>
              </w:rPr>
              <w:t xml:space="preserve">24 года составляет 204,4 тыс. га. Покрытая лесом площадь составляет – 189 тыс. га. Хвойные леса составляют – 43,3 тыс. га, лиственные леса, представленные березовыми и осиновыми насаждениями, составляют – 145,7 тыс. га от общей площади покрытых лесом 92 %.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Степень пожарной опасности лесов Маслянинского района определена по шкале класса пожарной опасности лесных участков для лесов Новосибирской области, разработанной Новосибирским ф</w:t>
            </w:r>
            <w:r>
              <w:rPr>
                <w:rFonts w:eastAsia="Calibri" w:cstheme="minorHAnsi"/>
              </w:rPr>
              <w:t xml:space="preserve">илиалом институту «Союзгипролесхоз» на основе пятибалльной шкалы академии Мелехова. Основными факторами по возникновению лесных пожаров является человеческий фактор. На территории Маслянинского лесничества характерен средний класс пожарной опасности – 3,9.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center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Распределение территории Маслянинского лесничества Новосибирской области по классам природной пожарной опасности.</w:t>
            </w:r>
            <w:r>
              <w:rPr>
                <w:rFonts w:eastAsia="Calibri" w:cstheme="minorHAnsi"/>
              </w:rPr>
            </w:r>
          </w:p>
          <w:tbl>
            <w:tblPr>
              <w:tblStyle w:val="663"/>
              <w:tblW w:w="8179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168"/>
              <w:gridCol w:w="709"/>
              <w:gridCol w:w="283"/>
              <w:gridCol w:w="709"/>
              <w:gridCol w:w="284"/>
              <w:gridCol w:w="708"/>
              <w:gridCol w:w="284"/>
              <w:gridCol w:w="709"/>
              <w:gridCol w:w="425"/>
              <w:gridCol w:w="567"/>
              <w:gridCol w:w="425"/>
              <w:gridCol w:w="709"/>
              <w:gridCol w:w="757"/>
            </w:tblGrid>
            <w:tr>
              <w:tblPrEx/>
              <w:trPr>
                <w:trHeight w:val="63"/>
              </w:trPr>
              <w:tc>
                <w:tcPr>
                  <w:tcW w:w="44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№ п/п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1168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Лесничество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gridSpan w:val="12"/>
                  <w:tcW w:w="656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Классы пожарной опасности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</w:tr>
            <w:tr>
              <w:tblPrEx/>
              <w:trPr>
                <w:trHeight w:val="63"/>
              </w:trPr>
              <w:tc>
                <w:tcPr>
                  <w:tcW w:w="442" w:type="dxa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1168" w:type="dxa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lang w:val="en-US"/>
                    </w:rPr>
                    <w:t xml:space="preserve">I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%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lang w:val="en-US"/>
                    </w:rPr>
                    <w:t xml:space="preserve">II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%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lang w:val="en-US"/>
                    </w:rPr>
                    <w:t xml:space="preserve">III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%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lang w:val="en-US"/>
                    </w:rPr>
                    <w:t xml:space="preserve">IV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42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%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  <w:lang w:val="en-US"/>
                    </w:rPr>
                    <w:t xml:space="preserve">V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42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%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Итого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Средний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</w:tr>
            <w:tr>
              <w:tblPrEx/>
              <w:trPr>
                <w:trHeight w:val="15"/>
              </w:trPr>
              <w:tc>
                <w:tcPr>
                  <w:tcW w:w="44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116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Маслянинское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3106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1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7180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4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5181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28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3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  <w:t xml:space="preserve">179784</w:t>
                  </w: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42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Calibri" w:cs="Times New Roman"/>
                      <w:sz w:val="20"/>
                      <w:szCs w:val="20"/>
                    </w:rPr>
                    <w:t xml:space="preserve">88</w:t>
                  </w:r>
                  <w:r>
                    <w:rPr>
                      <w:rFonts w:ascii="Times New Roman" w:hAnsi="Times New Roman" w:eastAsia="Calibri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  <w:t xml:space="preserve">9095</w:t>
                  </w: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42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4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  <w:t xml:space="preserve">204346</w:t>
                  </w: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75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eastAsia="Calibri" w:cs="Times New Roman"/>
                    </w:rPr>
                  </w:pPr>
                  <w:r>
                    <w:rPr>
                      <w:rFonts w:ascii="Times New Roman" w:hAnsi="Times New Roman" w:eastAsia="Calibri" w:cs="Times New Roman"/>
                    </w:rPr>
                    <w:t xml:space="preserve">3,9</w:t>
                  </w:r>
                  <w:r>
                    <w:rPr>
                      <w:rFonts w:ascii="Times New Roman" w:hAnsi="Times New Roman" w:eastAsia="Calibri" w:cs="Times New Roman"/>
                    </w:rPr>
                  </w:r>
                </w:p>
              </w:tc>
            </w:tr>
          </w:tbl>
          <w:p>
            <w:pPr>
              <w:ind w:firstLine="567"/>
              <w:jc w:val="center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 xml:space="preserve">Зона авиационного обнаружения и наземного тушения</w:t>
            </w:r>
            <w:r>
              <w:rPr>
                <w:rFonts w:eastAsia="Calibri" w:cstheme="minorHAnsi"/>
              </w:rPr>
              <w:t xml:space="preserve"> 204346 га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Рельеф Маслянинского и Борковского лесохозяйственных участков р</w:t>
            </w:r>
            <w:r>
              <w:rPr>
                <w:rFonts w:eastAsia="Calibri" w:cstheme="minorHAnsi"/>
              </w:rPr>
              <w:t xml:space="preserve">авнинный с ярко выраженным микрорельефом – увалами, гривами, понижениями. Максимальная отметка над уровнем моря 183 м. Рельеф остальной территории горный. Максимальная высота над уровнем моря здесь 523 м. Четкой границы между равниной и горной частями нет.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Почвенный покров земель лесничества неоднороден. В равнинной части преобладают серые лесные почвы и выщелоченные черноземы, в горной части распространены дерновые глубоко оподзолённые, темно-серые и серые лесные. </w:t>
            </w:r>
            <w:r>
              <w:rPr>
                <w:rFonts w:eastAsia="Calibri" w:cstheme="minorHAnsi"/>
              </w:rPr>
            </w:r>
          </w:p>
          <w:p>
            <w:pPr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По днищам балок и речным долинам распространены суглинистые почвы. Механический состав почвенного покрова в основном суглинистый.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Климат района расположения лесничества резко континентальный.</w:t>
            </w:r>
            <w:r>
              <w:rPr>
                <w:rFonts w:eastAsia="Times New Roman" w:cstheme="minorHAnsi"/>
                <w:lang w:eastAsia="ru-RU"/>
              </w:rPr>
            </w:r>
          </w:p>
          <w:p>
            <w:pPr>
              <w:ind w:firstLine="567"/>
              <w:jc w:val="both"/>
              <w:spacing w:before="200"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2. Информация об органах госуд</w:t>
            </w:r>
            <w:r>
              <w:rPr>
                <w:rFonts w:eastAsia="Times New Roman" w:cstheme="minorHAnsi"/>
                <w:lang w:eastAsia="ru-RU"/>
              </w:rPr>
              <w:t xml:space="preserve">арственной власти, их территориальных подразделениях, осуществляющих организацию тушения лесных пожаров, а также о государственных учреждениях и других организациях, осуществляющих работы по тушению лесных пожаров и осуществлению мер пожарной безопасности:</w:t>
            </w:r>
            <w:r>
              <w:rPr>
                <w:rFonts w:eastAsia="Times New Roman" w:cstheme="minorHAnsi"/>
                <w:lang w:eastAsia="ru-RU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Органом государственной власти, осуществляющим организаци</w:t>
            </w:r>
            <w:r>
              <w:rPr>
                <w:rFonts w:eastAsia="Calibri" w:cstheme="minorHAnsi"/>
              </w:rPr>
              <w:t xml:space="preserve">ю и тушение лесных пожаров является Министерство природных ресурсов и экологии Новосибирской области, адрес: 630007, г. Новосибирск, ул. Красный проспект, 25, министр - Шестернин Е.А., тел. 8-383-296-51-70, его территориальное подразделение отдел лесных от</w:t>
            </w:r>
            <w:r>
              <w:rPr>
                <w:rFonts w:eastAsia="Calibri" w:cstheme="minorHAnsi"/>
              </w:rPr>
              <w:t xml:space="preserve">ношений по Маслянинскому лесничеству, адрес: Новосибирская область, Маслянинский район, р.п. Маслянино, ул. Санаторная, 2, тел. 8 (38347) 23-987 Коровин Олег Александрович – начальник отдела лесных отношений – главный лесничий по Маслянинскому лесничеству 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Организациями, осуществляющими работы по тушению лесных пожаров и осуществлению мер пожарной безопасности, являются: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ГАУ НСО “Маслянинский лесхоз” – и.о. директора Зайцев Д.В., Новосибирская область, р.п. Маслянино, ул. Юбилейная, 4;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before="200"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ООО «Деловой альянс» - директор Хаджи-Оглы А.П., Новосибирская область, р.п. Маслянино, ул. Лесная, 2в; </w:t>
            </w:r>
            <w:r>
              <w:rPr>
                <w:rFonts w:eastAsia="Calibri" w:cstheme="minorHAnsi"/>
              </w:rPr>
            </w:r>
          </w:p>
          <w:p>
            <w:pPr>
              <w:ind w:firstLine="567"/>
              <w:jc w:val="both"/>
              <w:spacing w:before="200"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ООО «СибБиоРесурс» - директор Концевой А.С., Новосибирская область, Маслянинский район, с. Чудиново, ул. Гаражная, 1.</w:t>
            </w:r>
            <w:r>
              <w:rPr>
                <w:rFonts w:eastAsia="Times New Roman" w:cstheme="minorHAnsi"/>
              </w:rPr>
            </w:r>
          </w:p>
          <w:p>
            <w:pPr>
              <w:pStyle w:val="6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6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Информаци</w:t>
            </w:r>
            <w:r>
              <w:rPr>
                <w:rFonts w:asciiTheme="minorHAnsi" w:hAnsiTheme="minorHAnsi" w:cstheme="minorHAnsi"/>
              </w:rPr>
              <w:t xml:space="preserve">я</w:t>
            </w:r>
            <w:r>
              <w:rPr>
                <w:rFonts w:asciiTheme="minorHAnsi" w:hAnsiTheme="minorHAnsi" w:cstheme="minorHAnsi"/>
              </w:rPr>
              <w:t xml:space="preserve"> о лесорастительных зонах и лесных районах, лесистости, об общей площади лесов и ее распределении по целевому назначению и т.д.</w:t>
            </w:r>
            <w:r>
              <w:rPr>
                <w:rFonts w:asciiTheme="minorHAnsi" w:hAnsiTheme="minorHAnsi" w:cstheme="minorHAnsi"/>
              </w:rPr>
              <w:t xml:space="preserve"> представлена в приложении к плану в таблице 1.1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(информац</w:t>
            </w:r>
            <w:r>
              <w:t xml:space="preserve">ия о лесорастительных зонах и лесных районах, лесистости, об общей площади лесов и ее распределении по целевому назначению, преобладающим породам, группам возраста, информация о делении по участковым лесничествам, распределении лесов по типам леса в разрез</w:t>
            </w:r>
            <w:r>
              <w:t xml:space="preserve">е участковых лесничеств, информация о лесопожарном зонировании, распределении площади лесов по классам природной пожарной опасности, характеристика пожароопасного сезона (начало, окончание, продолжительность по лесным зонам (лесным районам), виды лесных по</w:t>
            </w:r>
            <w:r>
              <w:t xml:space="preserve">жаров, их динамика, сезонные особенности, информация о динамике площадей, пройденных лесными пожарами, площадей погибших насаждений, информация о причинах возникновения лесных пожаров, информация об угрозе распространения пожаров (низкая, средняя, высокая)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1.2.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приложении к плану </w:t>
            </w:r>
            <w:r>
              <w:t xml:space="preserve">в</w:t>
            </w:r>
            <w:r>
              <w:t xml:space="preserve"> таблиц</w:t>
            </w:r>
            <w:r>
              <w:t xml:space="preserve">е</w:t>
            </w:r>
            <w:r>
              <w:t xml:space="preserve"> 1.2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(информация о лесных участках, предоставленных в пользование, - характеристика </w:t>
            </w:r>
            <w:r>
              <w:t xml:space="preserve">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развития на срок действия плана)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1.3.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приложении к плану в таблице</w:t>
            </w:r>
            <w:r>
              <w:t xml:space="preserve"> 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(информация о состоянии противопожарного обустройства лесов (наличие объектов противопожарного обустройства лесов и оценка эффективности мероприятий по противопожарному обустройству лесов)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1"/>
            </w:pPr>
            <w:r>
              <w:t xml:space="preserve">II. Проектируемые меры противопожарного обустройства лесов с учетом затрат на их выполнение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tbl>
            <w:tblPr>
              <w:tblW w:w="82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0"/>
              <w:gridCol w:w="3583"/>
              <w:gridCol w:w="1194"/>
              <w:gridCol w:w="1910"/>
              <w:gridCol w:w="1193"/>
            </w:tblGrid>
            <w:tr>
              <w:tblPrEx/>
              <w:trPr>
                <w:trHeight w:val="941"/>
              </w:trPr>
              <w:tc>
                <w:tcPr>
                  <w:tcW w:w="3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</w:t>
                  </w:r>
                  <w:r/>
                </w:p>
              </w:tc>
              <w:tc>
                <w:tcPr>
                  <w:tcW w:w="358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Местоположение (участковое лесничество, кварталы)</w:t>
                  </w:r>
                  <w:r/>
                </w:p>
              </w:tc>
              <w:tc>
                <w:tcPr>
                  <w:tcW w:w="119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Состояние и протяженность</w:t>
                  </w:r>
                  <w:r>
                    <w:br/>
                    <w:t xml:space="preserve">(км)</w:t>
                  </w:r>
                  <w:r/>
                </w:p>
              </w:tc>
              <w:tc>
                <w:tcPr>
                  <w:tcW w:w="19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Лицо, ответственное за объект</w:t>
                  </w:r>
                  <w:r/>
                </w:p>
              </w:tc>
              <w:tc>
                <w:tcPr>
                  <w:tcW w:w="119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Примечание</w:t>
                  </w:r>
                  <w:r/>
                </w:p>
              </w:tc>
            </w:tr>
            <w:tr>
              <w:tblPrEx/>
              <w:trPr>
                <w:trHeight w:val="2449"/>
              </w:trPr>
              <w:tc>
                <w:tcPr>
                  <w:tcW w:w="38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1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358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Маслянинский л/х участок № 1  -  кв. 89, выд. 23,33,20,16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tabs>
                      <w:tab w:val="center" w:pos="2099" w:leader="none"/>
                    </w:tabs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tabs>
                      <w:tab w:val="center" w:pos="2099" w:leader="none"/>
                    </w:tabs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54°22'30,2"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84°13'40,6"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 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54°21'23,5"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84°19'39,7"</w:t>
                  </w:r>
                  <w:r>
                    <w:rPr>
                      <w:rFonts w:eastAsia="Times New Roman"/>
                    </w:rPr>
                  </w:r>
                </w:p>
              </w:tc>
              <w:tc>
                <w:tcPr>
                  <w:tcW w:w="11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Удовлетворительное,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0,6 км.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>
                    <w:rPr>
                      <w:rFonts w:eastAsia="Times New Roman"/>
                      <w:color w:val="000000" w:themeColor="text1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 w:themeColor="text1"/>
                    </w:rPr>
                  </w:r>
                </w:p>
              </w:tc>
              <w:tc>
                <w:tcPr>
                  <w:tcW w:w="19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 w:themeColor="text1"/>
                    </w:rPr>
                  </w:pPr>
                  <w:r>
                    <w:rPr>
                      <w:rFonts w:eastAsia="Times New Roman"/>
                      <w:color w:val="000000" w:themeColor="text1"/>
                    </w:rPr>
                    <w:t xml:space="preserve">ГАУ НСО «Маслянинский лесхоз» - 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и.о. 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директор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а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/>
                      <w:color w:val="000000" w:themeColor="text1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 w:themeColor="text1"/>
                    </w:rPr>
                    <w:t xml:space="preserve">Зайцев Д.В.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19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грунтовая</w:t>
                  </w:r>
                  <w:r>
                    <w:rPr>
                      <w:rFonts w:eastAsia="Times New Roman"/>
                    </w:rPr>
                  </w:r>
                </w:p>
              </w:tc>
            </w:tr>
            <w:tr>
              <w:tblPrEx/>
              <w:trPr>
                <w:trHeight w:val="4246"/>
              </w:trPr>
              <w:tc>
                <w:tcPr>
                  <w:tcW w:w="38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2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358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Елбанский л/х участок  –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кв. 176-181,107-114, 84,85</w:t>
                  </w:r>
                  <w:r>
                    <w:rPr>
                      <w:rFonts w:eastAsia="Times New Roman"/>
                    </w:rPr>
                    <w:t xml:space="preserve">,75,76, 61,50,40,39,81,70,59,58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54°19'07,9"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84°30'40,5"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54°24'05,3"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84°59'14,9"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Дубровский л/х участок –  кв. 42,55,77,78,87, 17,25,19,20,28,32,35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54°28'20,8"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84°49'52,7"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54°27'32,1"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85°03'32,9"</w:t>
                  </w:r>
                  <w:r>
                    <w:rPr>
                      <w:rFonts w:eastAsia="Times New Roman"/>
                    </w:rPr>
                  </w:r>
                </w:p>
              </w:tc>
              <w:tc>
                <w:tcPr>
                  <w:tcW w:w="11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Удовлетворительное, 115 км.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60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</w:r>
                  <w:r>
                    <w:rPr>
                      <w:color w:val="ff0000"/>
                    </w:rPr>
                  </w:r>
                </w:p>
              </w:tc>
              <w:tc>
                <w:tcPr>
                  <w:tcW w:w="19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ООО «СибБиоРесурс»  -</w:t>
                  </w:r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</w:rPr>
                    <w:t xml:space="preserve">директор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Концевой А.С.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19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грунтовая</w:t>
                  </w:r>
                  <w:r>
                    <w:rPr>
                      <w:rFonts w:eastAsia="Times New Roman"/>
                    </w:rPr>
                  </w:r>
                </w:p>
              </w:tc>
            </w:tr>
            <w:tr>
              <w:tblPrEx/>
              <w:trPr>
                <w:trHeight w:val="9208"/>
              </w:trPr>
              <w:tc>
                <w:tcPr>
                  <w:tcW w:w="38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3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358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Больше-Изыракский л/х участок - кв. 47,42,39,37,16,1,2,49,44,30,27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54°40'02,8"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84°13'53,9"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54°34'53,3"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84°16'41,6"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Дубровский л/х участок –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кв. 69,70,52,10,13,6-9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54°31'47,3"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84°48'10,8"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54°35'38,4"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84°56'51,0"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Егорьевский л/х участок – кв. 1,3,4,25,26,104,103,106,108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54°31'54,0"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84°34'37,2"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54°33'49,8"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84°38'27,2"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Маслянинский л/х участок № 2 (леса бывшего с-за «Маслянинский») – кв. 34,35,49,48,32,20,21,22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54°21'28,7"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84°06'12,7"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54°17'41,9"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84°01'37,8"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Маслянинский л/х участок № 2 (леса бывшего с-за «Сиб. Долгунец) – кв. 5,6,8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54°14'04,4"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84°00'16,5"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54°13'42,9"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84°05'39,7"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Маслянинский л/х участок № 2 (леса бывшего с-за «Сибиряк»)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кв. 15,16,24,25,39,45,60,61,45,46,52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54°17'38,8"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84°24'30,0"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54°11'07,2"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84°32'53,6"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Маслянинское, Маслянинский л/х участок № 2 (леса бывшего с-за «Сиб.Пахарь») – кв. 10,15,16,11-14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Начало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54°22'22,9"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84°16'01,0"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Окончание маршрута: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54°24'06,3"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84°27'29,8"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WGS</w:t>
                  </w:r>
                  <w:r>
                    <w:rPr>
                      <w:rFonts w:eastAsia="Times New Roman"/>
                    </w:rPr>
                    <w:t xml:space="preserve"> - 84</w:t>
                  </w:r>
                  <w:r>
                    <w:rPr>
                      <w:rFonts w:eastAsia="Times New Roman"/>
                    </w:rPr>
                  </w:r>
                </w:p>
              </w:tc>
              <w:tc>
                <w:tcPr>
                  <w:tcW w:w="11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Удовлетворительное, 100 км.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Удовлетворительное, 100 км.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30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62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28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lang w:eastAsia="ru-RU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80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Удовлетворительное,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30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Круглогодичного действия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</w:r>
                  <w:r>
                    <w:rPr>
                      <w:rFonts w:ascii="Times New Roman" w:hAnsi="Times New Roman"/>
                      <w:color w:val="ff0000"/>
                    </w:rPr>
                  </w:r>
                </w:p>
              </w:tc>
              <w:tc>
                <w:tcPr>
                  <w:tcW w:w="191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ООО «Деловой альянс»  - директор </w:t>
                  </w:r>
                  <w:r>
                    <w:rPr>
                      <w:rFonts w:eastAsia="Times New Roman"/>
                      <w:color w:val="000000"/>
                    </w:rPr>
                    <w:t xml:space="preserve">Хаджи-Оглы А.П.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19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грунтовая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щебень 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щебень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грунтовая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- грунтовая</w:t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</w:r>
                </w:p>
                <w:p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Наличие мостов: отсутствует, тип покрытия  - грунтовая</w:t>
                  </w:r>
                  <w:r>
                    <w:rPr>
                      <w:rFonts w:eastAsia="Times New Roman"/>
                    </w:rPr>
                  </w:r>
                </w:p>
              </w:tc>
            </w:tr>
            <w:tr>
              <w:tblPrEx/>
              <w:trPr>
                <w:trHeight w:val="310"/>
              </w:trPr>
              <w:tc>
                <w:tcPr>
                  <w:tcW w:w="38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4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358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ИТОГО: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19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605,6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910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  <w:lang w:val="en-US"/>
                    </w:rPr>
                  </w:pPr>
                  <w:r>
                    <w:rPr>
                      <w:rFonts w:eastAsia="Times New Roman"/>
                      <w:color w:val="000000"/>
                      <w:lang w:val="en-US"/>
                    </w:rPr>
                  </w:r>
                  <w:r>
                    <w:rPr>
                      <w:rFonts w:eastAsia="Times New Roman"/>
                      <w:color w:val="000000"/>
                      <w:lang w:val="en-US"/>
                    </w:rPr>
                  </w:r>
                </w:p>
              </w:tc>
              <w:tc>
                <w:tcPr>
                  <w:tcW w:w="1193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  <w:lang w:val="en-US"/>
                    </w:rPr>
                  </w:pPr>
                  <w:r>
                    <w:rPr>
                      <w:rFonts w:eastAsia="Times New Roman"/>
                      <w:color w:val="000000"/>
                      <w:lang w:val="en-US"/>
                    </w:rPr>
                  </w:r>
                  <w:r>
                    <w:rPr>
                      <w:rFonts w:eastAsia="Times New Roman"/>
                      <w:color w:val="000000"/>
                      <w:lang w:val="en-US"/>
                    </w:rPr>
                  </w:r>
                </w:p>
              </w:tc>
            </w:tr>
          </w:tbl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(создание, содержание и эксплуатация лесных дорог, предназначенных для охраны лесов от пожаров)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На территории Маслянинского лесничества посадочные площадки для самолетов и вертолетов лесохозяйственным регламентом не предусмотрены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пожаров)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tbl>
            <w:tblPr>
              <w:tblW w:w="82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1"/>
              <w:gridCol w:w="2226"/>
              <w:gridCol w:w="2225"/>
              <w:gridCol w:w="118"/>
              <w:gridCol w:w="1405"/>
              <w:gridCol w:w="1757"/>
            </w:tblGrid>
            <w:tr>
              <w:tblPrEx/>
              <w:trPr>
                <w:trHeight w:val="1012"/>
              </w:trPr>
              <w:tc>
                <w:tcPr>
                  <w:tcW w:w="49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</w:t>
                  </w:r>
                  <w:r/>
                </w:p>
              </w:tc>
              <w:tc>
                <w:tcPr>
                  <w:tcW w:w="22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Наименование объекта</w:t>
                  </w:r>
                  <w:r/>
                </w:p>
              </w:tc>
              <w:tc>
                <w:tcPr>
                  <w:tcW w:w="222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Местополо</w:t>
                  </w:r>
                  <w:r>
                    <w:t xml:space="preserve">жение (участковое лесничество, квартал и выдел)</w:t>
                  </w:r>
                  <w:r/>
                </w:p>
              </w:tc>
              <w:tc>
                <w:tcPr>
                  <w:gridSpan w:val="2"/>
                  <w:tcW w:w="152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Лицо, ответственное за объект</w:t>
                  </w:r>
                  <w:r/>
                </w:p>
              </w:tc>
              <w:tc>
                <w:tcPr>
                  <w:tcW w:w="175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Примечание</w:t>
                  </w:r>
                  <w:r/>
                </w:p>
              </w:tc>
            </w:tr>
            <w:tr>
              <w:tblPrEx/>
              <w:trPr>
                <w:trHeight w:val="759"/>
              </w:trPr>
              <w:tc>
                <w:tcPr>
                  <w:tcW w:w="491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Минерализованные  полосы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Дубровский л/х участок, кв. 93 выд. 5,32,33,27,42; кв. 94 выд. 2,3,42.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ООО «Дело</w:t>
                  </w:r>
                  <w:r>
                    <w:rPr>
                      <w:rFonts w:ascii="Times New Roman" w:hAnsi="Times New Roman"/>
                    </w:rPr>
                    <w:t xml:space="preserve">вой альянс» - директор Хаджи-Оглы А.П.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10,5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506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Б-Изыракский л/х участок, кв. 87 выд. 14,15,18,28.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21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759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Маслянинский л/х участок № 1, кв. 21 выд. 14,16,31;  кв. 30 выд. 2.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19,5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564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Маслянинский л/х участок № 2, кв. 3 выд. 17,48; с-з «Никоновский» кв. 7 выд. 9,10,17; с-з «Маслянинский» кв. 13 выд. 1,27; кв. 21; кв. 51 выд. 19,20,21,23,24.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49 км.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</w:tc>
            </w:tr>
            <w:tr>
              <w:tblPrEx/>
              <w:trPr>
                <w:trHeight w:val="248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Итого: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100 км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7785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Маслянинский л/х участок № 1, кв. 98 выд. 3,4,9-11,5,13,14,16,17,18,19;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кв. 99 выд. 1,2,4-6,15-18,8,10-12; кв. 103 выд. 1,5,6,9; кв. 89 выд. 4,10,16,17,20,21,23,28</w:t>
                  </w:r>
                  <w:r>
                    <w:rPr>
                      <w:rFonts w:ascii="Times New Roman" w:hAnsi="Times New Roman"/>
                    </w:rPr>
                    <w:t xml:space="preserve">,29,2,24,18,19,27,26,7; кв. 90 выд. 1,6,7,5,2,9,10,11; кв. 83 выд. 8,35,13,16,23,28,29,26; кв. 86 выд. 12,15,25,9,16,17,10; кв. 114 выд. 1-5; кв. 115 выд. 2,3,5,7,15,17,18,10,11,13,14; кв. 182 выд. 1-5,11,14,7,18; кв. 183 выд. 1-5,12,21,7,17,8,11,18; кв. 1</w:t>
                  </w:r>
                  <w:r>
                    <w:rPr>
                      <w:rFonts w:ascii="Times New Roman" w:hAnsi="Times New Roman"/>
                    </w:rPr>
                    <w:t xml:space="preserve">70 выд. 1,4,5,7-9,14,16,17,27; кв. 171 выд. 1-5,13-18,21,25,7,8,10; кв. 172 выд. 4,6-8,10,11,15,14,23; кв. 81 выд. 4,8,9,10,3,7,12,13,14,18,20,30,31,16,17; кв. 82 выд. 4-6; кв. 85 выд 1; кв. 75 выд. 25; кв. 78 выд. 12,14,18; кв. 79 выд. 4,3,10; кв. 77 выд </w:t>
                  </w:r>
                  <w:r>
                    <w:rPr>
                      <w:rFonts w:ascii="Times New Roman" w:hAnsi="Times New Roman"/>
                    </w:rPr>
                    <w:t xml:space="preserve">5,20; кв. 80 выд. 4,7; кв. 87 выд. 11,12; кв. 88 выд. 19,8,15,16,21,22; кв. 123 выд. 4,5,22; кв. 118 выд. 17,20,26,28,27,29,30; кв. 122 выд. 1-3.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 w:eastAsia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</w:rPr>
                    <w:t xml:space="preserve">ГАУ НСО «Маслянинский лесхоз» - </w:t>
                  </w:r>
                  <w:r>
                    <w:rPr>
                      <w:rFonts w:ascii="Times New Roman" w:hAnsi="Times New Roman"/>
                    </w:rPr>
                    <w:t xml:space="preserve">и.о. </w:t>
                  </w:r>
                  <w:r>
                    <w:rPr>
                      <w:rFonts w:ascii="Times New Roman" w:hAnsi="Times New Roman" w:eastAsia="Times New Roman"/>
                      <w:color w:val="000000" w:themeColor="text1"/>
                    </w:rPr>
                    <w:t xml:space="preserve">директор</w:t>
                  </w:r>
                  <w:r>
                    <w:rPr>
                      <w:rFonts w:ascii="Times New Roman" w:hAnsi="Times New Roman" w:eastAsia="Times New Roman"/>
                      <w:color w:val="000000" w:themeColor="text1"/>
                    </w:rPr>
                    <w:t xml:space="preserve">а</w:t>
                  </w:r>
                  <w:r>
                    <w:rPr>
                      <w:rFonts w:ascii="Times New Roman" w:hAnsi="Times New Roman" w:eastAsia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eastAsia="Times New Roman"/>
                      <w:color w:val="000000" w:themeColor="text1"/>
                    </w:rPr>
                    <w:t xml:space="preserve">Зайцев Д.В.</w:t>
                  </w:r>
                  <w:r>
                    <w:rPr>
                      <w:rFonts w:ascii="Times New Roman" w:hAnsi="Times New Roman" w:eastAsia="Times New Roman"/>
                      <w:color w:val="000000" w:themeColor="text1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108,9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475"/>
              </w:trPr>
              <w:tc>
                <w:tcPr>
                  <w:tcW w:w="491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Минерализованные  полосы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Борковски</w:t>
                  </w:r>
                  <w:r>
                    <w:rPr>
                      <w:rFonts w:ascii="Times New Roman" w:hAnsi="Times New Roman"/>
                    </w:rPr>
                    <w:t xml:space="preserve">й</w:t>
                  </w:r>
                  <w:r>
                    <w:rPr>
                      <w:rFonts w:ascii="Times New Roman" w:hAnsi="Times New Roman"/>
                    </w:rPr>
                    <w:t xml:space="preserve"> л/х участок, кв. 1 выд. 36,50; кв. 2 выд. 44,24,20; кв. 23 выд. 1-7; кв. 79 выд. 13,6,30; кв. 78 выд. 5,54,44,17; кв. 84 выд. 5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none" w:color="000000" w:sz="4" w:space="0"/>
                  </w:tcBorders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21,1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279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</w:tcBorders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Итого: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130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2094"/>
              </w:trPr>
              <w:tc>
                <w:tcPr>
                  <w:tcW w:w="491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restart"/>
                  <w:textDirection w:val="lrTb"/>
                  <w:noWrap w:val="false"/>
                </w:tcPr>
                <w:p>
                  <w:r>
                    <w:t xml:space="preserve">Минерализованные полосы</w:t>
                  </w:r>
                  <w:r/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Дубровский л/х участок, кв. 32 выд.42; кв.35 выд.12,37; кв.42 выд.30,35,37,50,52; кв.43 выд.7,16,20,22; кв. 44 выд.8,14,28; кв.87 выд.13,19,23,29,31; кв.88 выд.2,12,16,17,24,31,35,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38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ООО «СибБиоРесурс» - директор </w:t>
                  </w:r>
                  <w:r>
                    <w:rPr>
                      <w:rFonts w:ascii="Times New Roman" w:hAnsi="Times New Roman"/>
                    </w:rPr>
                    <w:t xml:space="preserve">Концевой А.С.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70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W w:w="491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Итого: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70 км.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446"/>
              </w:trPr>
              <w:tc>
                <w:tcPr>
                  <w:tcW w:w="491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226" w:type="dxa"/>
                  <w:textDirection w:val="lrTb"/>
                  <w:noWrap w:val="false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ВСЕГО:</w:t>
                  </w:r>
                  <w:r>
                    <w:rPr>
                      <w:b/>
                    </w:rPr>
                  </w:r>
                </w:p>
              </w:tc>
              <w:tc>
                <w:tcPr>
                  <w:gridSpan w:val="2"/>
                  <w:tcW w:w="2343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</w:r>
                  <w:r>
                    <w:rPr>
                      <w:rFonts w:ascii="Times New Roman" w:hAnsi="Times New Roman"/>
                      <w:b/>
                    </w:rPr>
                  </w:r>
                </w:p>
              </w:tc>
              <w:tc>
                <w:tcPr>
                  <w:tcW w:w="14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</w:r>
                  <w:r>
                    <w:rPr>
                      <w:rFonts w:ascii="Times New Roman" w:hAnsi="Times New Roman"/>
                      <w:b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300</w:t>
                  </w:r>
                  <w:r>
                    <w:rPr>
                      <w:rFonts w:ascii="Times New Roman" w:hAnsi="Times New Roman"/>
                      <w:b/>
                    </w:rPr>
                  </w:r>
                </w:p>
              </w:tc>
            </w:tr>
          </w:tbl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(прокладка просек, противопожарных разрывов, устройство противопожарных минерализованных полос)</w:t>
            </w:r>
            <w:r/>
          </w:p>
          <w:p>
            <w:pPr>
              <w:pStyle w:val="657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tbl>
            <w:tblPr>
              <w:tblW w:w="827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2092"/>
              <w:gridCol w:w="1859"/>
              <w:gridCol w:w="1278"/>
              <w:gridCol w:w="1278"/>
              <w:gridCol w:w="1279"/>
            </w:tblGrid>
            <w:tr>
              <w:tblPrEx/>
              <w:trPr>
                <w:trHeight w:val="2396"/>
              </w:trPr>
              <w:tc>
                <w:tcPr>
                  <w:tcW w:w="48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</w:t>
                  </w:r>
                  <w:r/>
                </w:p>
              </w:tc>
              <w:tc>
                <w:tcPr>
                  <w:tcW w:w="209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Наименование объекта </w:t>
                  </w:r>
                  <w:r/>
                </w:p>
              </w:tc>
              <w:tc>
                <w:tcPr>
                  <w:tcW w:w="18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Местоположение</w:t>
                  </w:r>
                  <w:r>
                    <w:t xml:space="preserve"> </w:t>
                  </w:r>
                  <w:r>
                    <w:t xml:space="preserve">(географические координаты ближайший населенный пункт, участковое лесничество, квартал и выдел)</w:t>
                  </w:r>
                  <w:r/>
                </w:p>
              </w:tc>
              <w:tc>
                <w:tcPr>
                  <w:tcW w:w="12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Характери</w:t>
                  </w:r>
                  <w:r>
                    <w:t xml:space="preserve">стика объекта</w:t>
                  </w:r>
                  <w:r/>
                </w:p>
              </w:tc>
              <w:tc>
                <w:tcPr>
                  <w:tcW w:w="12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Лицо, ответст</w:t>
                  </w:r>
                  <w:r>
                    <w:t xml:space="preserve">венное за объект</w:t>
                  </w:r>
                  <w:r/>
                </w:p>
              </w:tc>
              <w:tc>
                <w:tcPr>
                  <w:tcW w:w="127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Примечание</w:t>
                  </w:r>
                  <w:r/>
                </w:p>
              </w:tc>
            </w:tr>
            <w:tr>
              <w:tblPrEx/>
              <w:trPr>
                <w:trHeight w:val="1278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1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 54˚20</w:t>
                  </w:r>
                  <w:r>
                    <w:t xml:space="preserve">̕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52˝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84˚48</w:t>
                  </w:r>
                  <w:r>
                    <w:t xml:space="preserve">̕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83˝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с. Чудиново</w:t>
                  </w:r>
                  <w:r>
                    <w:rPr>
                      <w:rFonts w:ascii="Times New Roman" w:hAnsi="Times New Roman"/>
                    </w:rPr>
                    <w:t xml:space="preserve">, ул. Гаражная, 1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Одноэтажное бетонное здание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ООО «СибБиоРесурс» - директор </w:t>
                  </w:r>
                  <w:r>
                    <w:rPr>
                      <w:rFonts w:eastAsia="Times New Roman"/>
                      <w:color w:val="000000"/>
                    </w:rPr>
                    <w:t xml:space="preserve">Концевой А.С.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</w:tr>
            <w:tr>
              <w:tblPrEx/>
              <w:trPr>
                <w:trHeight w:val="1002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54˚24</w:t>
                  </w:r>
                  <w:r>
                    <w:t xml:space="preserve">̕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43˝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84˚07</w:t>
                  </w:r>
                  <w:r>
                    <w:t xml:space="preserve">̕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12˝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</w:t>
                  </w:r>
                  <w:r>
                    <w:rPr>
                      <w:rFonts w:ascii="Times New Roman" w:hAnsi="Times New Roman"/>
                    </w:rPr>
                    <w:t xml:space="preserve">.п. Маслянино</w:t>
                  </w:r>
                  <w:r>
                    <w:rPr>
                      <w:rFonts w:ascii="Times New Roman" w:hAnsi="Times New Roman"/>
                    </w:rPr>
                    <w:t xml:space="preserve">, ул. Лесная, 2в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«Деловой альянс» - директор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Хаджи-Оглы А.П.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20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ff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ff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54˚30΄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28,2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84˚35΄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05,8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Егорьевское, ул. Старателей, 1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Артель старателей «Суенга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» - директор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Дробот А.А.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20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ff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ff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54˚30΄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14,7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84˚35΄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11,3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Егорьевское, ул. Лесная, 2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Салаир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» - директор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Лыткин А.В.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973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5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54˚33΄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49,0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84˚50΄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06,1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Дубровка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«Суенга» Верле И.Ф.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20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54˚19΄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23,2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84˚18΄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07,5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Егорьевское, ул. Лесная, 2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«Сибирская Нива» Ляхов С.А.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973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54˚21΄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20,1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84˚13΄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35,0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р.п. Маслянино, Дорожная, 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«Маслянинское ДРСУ» Просеков С.А.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973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8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54˚24΄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28,6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84˚08΄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43,8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Чупино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«Форест-Кемп»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Тупкалов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973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9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54˚27΄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40,9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84˚43΄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40,8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Дубровка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«Квант» Кузьменко Г.И.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973"/>
              </w:trPr>
              <w:tc>
                <w:tcPr>
                  <w:tcW w:w="487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10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092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 w:eastAsia="Times New Roman"/>
                      <w:color w:val="000000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</w:rPr>
                    <w:t xml:space="preserve">Пункт сосредоточения пожарного инвентаря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</w:r>
                </w:p>
              </w:tc>
              <w:tc>
                <w:tcPr>
                  <w:tcW w:w="185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широта 54˚20΄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30,6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долгота 84˚17΄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20,6</w:t>
                  </w:r>
                  <w:r>
                    <w:rPr>
                      <w:rFonts w:ascii="Times New Roman" w:hAnsi="Times New Roman"/>
                    </w:rPr>
                    <w:t xml:space="preserve">˝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НСО Маслянинский район, с. Егорьевское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Одноэтажное здание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278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ООО «Компания Сатурн»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Анюточкин Я.И.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tbl>
            <w:tblPr>
              <w:tblW w:w="824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6"/>
              <w:gridCol w:w="1505"/>
              <w:gridCol w:w="1389"/>
              <w:gridCol w:w="1505"/>
              <w:gridCol w:w="1273"/>
              <w:gridCol w:w="1042"/>
              <w:gridCol w:w="1042"/>
            </w:tblGrid>
            <w:tr>
              <w:tblPrEx/>
              <w:trPr>
                <w:trHeight w:val="3273"/>
              </w:trPr>
              <w:tc>
                <w:tcPr>
                  <w:tcW w:w="48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</w:t>
                  </w:r>
                  <w:r/>
                </w:p>
              </w:tc>
              <w:tc>
                <w:tcPr>
                  <w:tcW w:w="150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Наименование объекта</w:t>
                  </w:r>
                  <w:r/>
                </w:p>
              </w:tc>
              <w:tc>
                <w:tcPr>
                  <w:tcW w:w="138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Местоположение (географические координаты </w:t>
                  </w:r>
                  <w:r>
                    <w:rPr>
                      <w:vertAlign w:val="superscript"/>
                    </w:rPr>
                    <w:t xml:space="preserve">2</w:t>
                  </w:r>
                  <w:r>
                    <w:t xml:space="preserve">, ближайший населенный пункт, участковое лесничество, квартал и выдел)</w:t>
                  </w:r>
                  <w:r>
                    <w:rPr>
                      <w:highlight w:val="yellow"/>
                    </w:rPr>
                  </w:r>
                </w:p>
              </w:tc>
              <w:tc>
                <w:tcPr>
                  <w:tcW w:w="150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Характеристики объекта (для забора воды наземными средствами – объем в м</w:t>
                  </w:r>
                  <w:r>
                    <w:rPr>
                      <w:vertAlign w:val="superscript"/>
                    </w:rPr>
                    <w:t xml:space="preserve">3</w:t>
                  </w:r>
                  <w:r>
                    <w:t xml:space="preserve">, для забора воды авиационными средствами – глубина в м, площадка для работы воздушного судна –</w:t>
                  </w:r>
                  <w:r>
                    <w:t xml:space="preserve"> </w:t>
                  </w:r>
                  <w:r>
                    <w:t xml:space="preserve">размеры в м</w:t>
                  </w:r>
                  <w:r>
                    <w:rPr>
                      <w:vertAlign w:val="superscript"/>
                    </w:rPr>
                    <w:t xml:space="preserve">2</w:t>
                  </w:r>
                  <w:r>
                    <w:t xml:space="preserve">)</w:t>
                  </w:r>
                  <w:r/>
                </w:p>
              </w:tc>
              <w:tc>
                <w:tcPr>
                  <w:tcW w:w="127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Состояние противо</w:t>
                  </w:r>
                  <w:r>
                    <w:t xml:space="preserve">пожарного водоема и подъезда к источнику водоснаб</w:t>
                  </w:r>
                  <w:r>
                    <w:t xml:space="preserve">жения</w:t>
                  </w:r>
                  <w:r/>
                </w:p>
              </w:tc>
              <w:tc>
                <w:tcPr>
                  <w:tcW w:w="10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Лицо, ответст</w:t>
                  </w:r>
                  <w:r>
                    <w:t xml:space="preserve">венное за объект</w:t>
                  </w:r>
                  <w:r/>
                </w:p>
              </w:tc>
              <w:tc>
                <w:tcPr>
                  <w:tcW w:w="104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Примечание</w:t>
                  </w:r>
                  <w:r/>
                </w:p>
              </w:tc>
            </w:tr>
            <w:tr>
              <w:tblPrEx/>
              <w:trPr>
                <w:trHeight w:val="1337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Р.п. Маслянино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54˚20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28˝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84˚20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07˝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азимут 27°, расстояние 390м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30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 апрель - 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администрации р.п. Маслянино – Рахманов М.А.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911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Пеньково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54˚20̕16˝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83˚59̕10˝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азимут 250°, расстояние 325м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4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Шемонаев Н.Ю.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911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Борково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54˚13̕39˝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84˚03̕26˝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 азимут 42°, расстояние 825м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14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Жаравина Л.В.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896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Малая-Томка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54˚17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26˝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84˚24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57˝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 азимут 137°, расстояние 800м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16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 Искаков Р.А.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249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5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Егорьевское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54˚29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45˝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84˚35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40˝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 азимут 55°, расстояние 810м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4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Анкудинов А.М.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911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Александровка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54˚26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05˝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84˚21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57˝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 азимут 246°, расстояние 425м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3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Панюшкин Ю.Ф.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37"/>
              </w:trPr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Противопожарный водоем искусственного происхождения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для забора воды наземными средствами (пруд)</w:t>
                  </w:r>
                  <w:r>
                    <w:rPr>
                      <w:color w:val="000000" w:themeColor="text1"/>
                    </w:rPr>
                  </w:r>
                </w:p>
              </w:tc>
              <w:tc>
                <w:tcPr>
                  <w:tcW w:w="1389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с. Березово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54˚30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41˝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83˚58</w:t>
                  </w:r>
                  <w:r>
                    <w:rPr>
                      <w:sz w:val="20"/>
                      <w:szCs w:val="20"/>
                    </w:rPr>
                    <w:t xml:space="preserve">̕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51˝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Здание администрации азимут 232°, расстояние 350м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05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объем 3 тыс.м³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забора воды наземными средствами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3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Удовлетв.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Расположены вблизи улучшенных автомобильных дорог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Эксплуатация апрель-октябрь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Глава МО Фомичева Т.Н.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04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Грунтовая дорога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57"/>
            </w:pPr>
            <w:r/>
            <w:r/>
          </w:p>
          <w:p>
            <w:pPr>
              <w:pStyle w:val="657"/>
            </w:pPr>
            <w:r>
              <w:t xml:space="preserve">Примечание: возможен забор воды наземными средствами из пожарных водоемов, расположенных в населенных пунктах.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(устройство пожарных водоемов и подъездов к источникам противопожарного водоснабжения)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На территории Маслянинского лесничества</w:t>
            </w:r>
            <w:r>
              <w:t xml:space="preserve"> работы по гидромелиорации лесохозяйственным регламентом не предусмотрены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(проведение работ по гидромелиорации земель)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Для снижения природной пожарной опасности лесов в лесничестве проводятся мероприятия по регулированию породного состава лесных насаждений 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(снижение природной пожарной опасности лесов путем регулирования породного состава лесных насаждений)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tbl>
            <w:tblPr>
              <w:tblW w:w="828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1770"/>
              <w:gridCol w:w="1651"/>
              <w:gridCol w:w="1062"/>
              <w:gridCol w:w="1062"/>
              <w:gridCol w:w="1061"/>
              <w:gridCol w:w="1180"/>
            </w:tblGrid>
            <w:tr>
              <w:tblPrEx/>
              <w:trPr>
                <w:trHeight w:val="1622"/>
              </w:trPr>
              <w:tc>
                <w:tcPr>
                  <w:shd w:val="clear" w:color="auto" w:fill="ffffff" w:themeFill="background1"/>
                  <w:tcW w:w="49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№</w:t>
                  </w:r>
                  <w:r/>
                </w:p>
              </w:tc>
              <w:tc>
                <w:tcPr>
                  <w:shd w:val="clear" w:color="auto" w:fill="ffffff" w:themeFill="background1"/>
                  <w:tcW w:w="177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Наименование меро</w:t>
                  </w:r>
                  <w:r>
                    <w:t xml:space="preserve">приятия</w:t>
                  </w:r>
                  <w:r/>
                </w:p>
              </w:tc>
              <w:tc>
                <w:tcPr>
                  <w:shd w:val="clear" w:color="auto" w:fill="ffffff" w:themeFill="background1"/>
                  <w:tcW w:w="16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Место проведения (участковое лесничество, квартал и выдел)</w:t>
                  </w:r>
                  <w:r/>
                </w:p>
              </w:tc>
              <w:tc>
                <w:tcPr>
                  <w:shd w:val="clear" w:color="auto" w:fill="ffffff" w:themeFill="background1"/>
                  <w:tcW w:w="10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Единица измерения</w:t>
                  </w:r>
                  <w:r/>
                </w:p>
              </w:tc>
              <w:tc>
                <w:tcPr>
                  <w:shd w:val="clear" w:color="auto" w:fill="ffffff" w:themeFill="background1"/>
                  <w:tcW w:w="10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Объем работ</w:t>
                  </w:r>
                  <w:r/>
                </w:p>
              </w:tc>
              <w:tc>
                <w:tcPr>
                  <w:shd w:val="clear" w:color="auto" w:fill="ffffff" w:themeFill="background1"/>
                  <w:tcW w:w="10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</w:pPr>
                  <w:r>
                    <w:t xml:space="preserve">Срок испол</w:t>
                  </w:r>
                  <w:r>
                    <w:t xml:space="preserve">нения</w:t>
                  </w:r>
                  <w:r/>
                </w:p>
              </w:tc>
              <w:tc>
                <w:tcPr>
                  <w:shd w:val="clear" w:color="auto" w:fill="ffffff" w:themeFill="background1"/>
                  <w:tcW w:w="11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tabs>
                      <w:tab w:val="left" w:pos="2228" w:leader="none"/>
                    </w:tabs>
                  </w:pPr>
                  <w:r>
                    <w:t xml:space="preserve">Лицо, ответственное за осущест</w:t>
                  </w:r>
                  <w:r>
                    <w:t xml:space="preserve">вление меро</w:t>
                  </w:r>
                  <w:r>
                    <w:t xml:space="preserve">приятия</w:t>
                  </w:r>
                  <w:r/>
                </w:p>
              </w:tc>
            </w:tr>
            <w:tr>
              <w:tblPrEx/>
              <w:trPr>
                <w:trHeight w:val="1273"/>
              </w:trPr>
              <w:tc>
                <w:tcPr>
                  <w:shd w:val="clear" w:color="auto" w:fill="ffffff" w:themeFill="background1"/>
                  <w:tcW w:w="49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1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shd w:val="clear" w:color="auto" w:fill="ffffff" w:themeFill="background1"/>
                  <w:tcW w:w="1770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Контролируемое противопожарное  выжигание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651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Дубровский л/х участок, кв. </w:t>
                  </w:r>
                  <w:r>
                    <w:rPr>
                      <w:rFonts w:ascii="Times New Roman" w:hAnsi="Times New Roman"/>
                    </w:rPr>
                    <w:t xml:space="preserve">13 выд. 7</w:t>
                  </w:r>
                  <w:r>
                    <w:rPr>
                      <w:rFonts w:ascii="Times New Roman" w:hAnsi="Times New Roman"/>
                    </w:rPr>
                    <w:t xml:space="preserve">; кв. 6 выд. </w:t>
                  </w:r>
                  <w:r>
                    <w:rPr>
                      <w:rFonts w:ascii="Times New Roman" w:hAnsi="Times New Roman"/>
                    </w:rPr>
                    <w:t xml:space="preserve">51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9,5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1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После окончания пожароопасного сезона 2024</w:t>
                  </w:r>
                  <w:r>
                    <w:rPr>
                      <w:rFonts w:ascii="Times New Roman" w:hAnsi="Times New Roman"/>
                    </w:rPr>
                    <w:t xml:space="preserve">г.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180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ООО «Деловой альянс» </w:t>
                  </w:r>
                  <w:r>
                    <w:rPr>
                      <w:rFonts w:ascii="Times New Roman" w:hAnsi="Times New Roman"/>
                    </w:rPr>
                    <w:t xml:space="preserve">Хаджи-Оглы А.П.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65"/>
              </w:trPr>
              <w:tc>
                <w:tcPr>
                  <w:tcW w:w="495" w:type="dxa"/>
                  <w:vMerge w:val="continue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tcW w:w="1770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651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Маслянинский л/х участок № 2 с-з « Маслянинский» кв.13 выд.</w:t>
                  </w:r>
                  <w:r>
                    <w:rPr>
                      <w:rFonts w:ascii="Times New Roman" w:hAnsi="Times New Roman"/>
                    </w:rPr>
                    <w:t xml:space="preserve">26,28,30,46,48,50,53,56,62,61; кв.12</w:t>
                  </w:r>
                  <w:r>
                    <w:rPr>
                      <w:rFonts w:ascii="Times New Roman" w:hAnsi="Times New Roman"/>
                    </w:rPr>
                    <w:t xml:space="preserve"> выд.</w:t>
                  </w:r>
                  <w:r>
                    <w:rPr>
                      <w:rFonts w:ascii="Times New Roman" w:hAnsi="Times New Roman"/>
                    </w:rPr>
                    <w:t xml:space="preserve">22,19,20; кв.14 выд. 20,14,26,17; кв.26</w:t>
                  </w:r>
                  <w:r>
                    <w:rPr>
                      <w:rFonts w:ascii="Times New Roman" w:hAnsi="Times New Roman"/>
                    </w:rPr>
                    <w:t xml:space="preserve"> выд.</w:t>
                  </w:r>
                  <w:r>
                    <w:rPr>
                      <w:rFonts w:ascii="Times New Roman" w:hAnsi="Times New Roman"/>
                    </w:rPr>
                    <w:t xml:space="preserve">26,17,18; к</w:t>
                  </w:r>
                  <w:r>
                    <w:rPr>
                      <w:rFonts w:ascii="Times New Roman" w:hAnsi="Times New Roman"/>
                    </w:rPr>
                    <w:t xml:space="preserve">-з «</w:t>
                  </w:r>
                  <w:r>
                    <w:rPr>
                      <w:rFonts w:ascii="Times New Roman" w:hAnsi="Times New Roman"/>
                    </w:rPr>
                    <w:t xml:space="preserve">Прожектор</w:t>
                  </w:r>
                  <w:r>
                    <w:rPr>
                      <w:rFonts w:ascii="Times New Roman" w:hAnsi="Times New Roman"/>
                    </w:rPr>
                    <w:t xml:space="preserve">» кв.1</w:t>
                  </w:r>
                  <w:r>
                    <w:rPr>
                      <w:rFonts w:ascii="Times New Roman" w:hAnsi="Times New Roman"/>
                    </w:rPr>
                    <w:t xml:space="preserve">8</w:t>
                  </w:r>
                  <w:r>
                    <w:rPr>
                      <w:rFonts w:ascii="Times New Roman" w:hAnsi="Times New Roman"/>
                    </w:rPr>
                    <w:t xml:space="preserve"> выд.</w:t>
                  </w:r>
                  <w:r>
                    <w:rPr>
                      <w:rFonts w:ascii="Times New Roman" w:hAnsi="Times New Roman"/>
                    </w:rPr>
                    <w:t xml:space="preserve">115,173,114,170,117,171,122,174,124,101,102,163,164; кв.16</w:t>
                  </w:r>
                  <w:r>
                    <w:rPr>
                      <w:rFonts w:ascii="Times New Roman" w:hAnsi="Times New Roman"/>
                    </w:rPr>
                    <w:t xml:space="preserve"> выд.</w:t>
                  </w:r>
                  <w:r>
                    <w:rPr>
                      <w:rFonts w:ascii="Times New Roman" w:hAnsi="Times New Roman"/>
                    </w:rPr>
                    <w:t xml:space="preserve">18,79,21,22,37,78,91,23,77; кв. 9 выд. 44,43,60;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К-з «Помни Ильича» кв. 2 выд. 87,83,84,167,169,86,73,140;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С-з «Никоновский» кв. 22 выд. 12,8,40,15,34,9,10,31,16,17,28,67,83,20;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С-з «Восточный» кв. 66 выд. 39,42,44,45,54,56,57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К-з «Сиб. Пахарь» кв. 13 выд. 61,98,62; кв. 12 выд. 84,94,95,96,72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190,5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1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После окончания пожароопасного сезона 2024</w:t>
                  </w:r>
                  <w:r>
                    <w:t xml:space="preserve">г.</w:t>
                  </w:r>
                  <w:r/>
                </w:p>
              </w:tc>
              <w:tc>
                <w:tcPr>
                  <w:tcW w:w="1180" w:type="dxa"/>
                  <w:vMerge w:val="continue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3633"/>
              </w:trPr>
              <w:tc>
                <w:tcPr>
                  <w:shd w:val="clear" w:color="auto" w:fill="ffffff" w:themeFill="background1"/>
                  <w:tcW w:w="495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2</w:t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shd w:val="clear" w:color="auto" w:fill="ffffff" w:themeFill="background1"/>
                  <w:tcW w:w="1770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Контролируемое противопожарное выжигание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651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Маслянинский л/х участок № 1, кв. 88 выд. </w:t>
                  </w:r>
                  <w:r>
                    <w:rPr>
                      <w:rFonts w:ascii="Times New Roman" w:hAnsi="Times New Roman"/>
                    </w:rPr>
                    <w:t xml:space="preserve">16</w:t>
                  </w:r>
                  <w:r>
                    <w:rPr>
                      <w:rFonts w:ascii="Times New Roman" w:hAnsi="Times New Roman"/>
                    </w:rPr>
                    <w:t xml:space="preserve">, кв.131 выд. 21; кв. 159 выд. 30; </w:t>
                  </w:r>
                  <w:r>
                    <w:rPr>
                      <w:rFonts w:ascii="Times New Roman" w:hAnsi="Times New Roman"/>
                    </w:rPr>
                    <w:t xml:space="preserve">кв. 75</w:t>
                  </w:r>
                  <w:r>
                    <w:rPr>
                      <w:rFonts w:ascii="Times New Roman" w:hAnsi="Times New Roman"/>
                    </w:rPr>
                    <w:t xml:space="preserve"> выд. </w:t>
                  </w:r>
                  <w:r>
                    <w:rPr>
                      <w:rFonts w:ascii="Times New Roman" w:hAnsi="Times New Roman"/>
                    </w:rPr>
                    <w:t xml:space="preserve">25,29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84</w:t>
                  </w:r>
                  <w:r>
                    <w:rPr>
                      <w:rFonts w:ascii="Times New Roman" w:hAnsi="Times New Roman"/>
                    </w:rPr>
                    <w:t xml:space="preserve"> выд</w:t>
                  </w:r>
                  <w:r>
                    <w:rPr>
                      <w:rFonts w:ascii="Times New Roman" w:hAnsi="Times New Roman"/>
                    </w:rPr>
                    <w:t xml:space="preserve">. 10,11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45</w:t>
                  </w:r>
                  <w:r>
                    <w:rPr>
                      <w:rFonts w:ascii="Times New Roman" w:hAnsi="Times New Roman"/>
                    </w:rPr>
                    <w:t xml:space="preserve"> выд. </w:t>
                  </w:r>
                  <w:r>
                    <w:rPr>
                      <w:rFonts w:ascii="Times New Roman" w:hAnsi="Times New Roman"/>
                    </w:rPr>
                    <w:t xml:space="preserve">14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48 выд. 3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130</w:t>
                  </w:r>
                  <w:r>
                    <w:rPr>
                      <w:rFonts w:ascii="Times New Roman" w:hAnsi="Times New Roman"/>
                    </w:rPr>
                    <w:t xml:space="preserve"> выд. </w:t>
                  </w:r>
                  <w:r>
                    <w:rPr>
                      <w:rFonts w:ascii="Times New Roman" w:hAnsi="Times New Roman"/>
                    </w:rPr>
                    <w:t xml:space="preserve">9</w:t>
                  </w:r>
                  <w:r>
                    <w:rPr>
                      <w:rFonts w:ascii="Times New Roman" w:hAnsi="Times New Roman"/>
                    </w:rPr>
                    <w:t xml:space="preserve">; кв. 1</w:t>
                  </w:r>
                  <w:r>
                    <w:rPr>
                      <w:rFonts w:ascii="Times New Roman" w:hAnsi="Times New Roman"/>
                    </w:rPr>
                    <w:t xml:space="preserve">70</w:t>
                  </w:r>
                  <w:r>
                    <w:rPr>
                      <w:rFonts w:ascii="Times New Roman" w:hAnsi="Times New Roman"/>
                    </w:rPr>
                    <w:t xml:space="preserve"> выд. </w:t>
                  </w:r>
                  <w:r>
                    <w:rPr>
                      <w:rFonts w:ascii="Times New Roman" w:hAnsi="Times New Roman"/>
                    </w:rPr>
                    <w:t xml:space="preserve">7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172 выд. 2</w:t>
                  </w:r>
                  <w:r>
                    <w:rPr>
                      <w:rFonts w:ascii="Times New Roman" w:hAnsi="Times New Roman"/>
                    </w:rPr>
                    <w:t xml:space="preserve">; кв. </w:t>
                  </w:r>
                  <w:r>
                    <w:rPr>
                      <w:rFonts w:ascii="Times New Roman" w:hAnsi="Times New Roman"/>
                    </w:rPr>
                    <w:t xml:space="preserve">174</w:t>
                  </w:r>
                  <w:r>
                    <w:rPr>
                      <w:rFonts w:ascii="Times New Roman" w:hAnsi="Times New Roman"/>
                    </w:rPr>
                    <w:t xml:space="preserve"> выд. </w:t>
                  </w:r>
                  <w:r>
                    <w:rPr>
                      <w:rFonts w:ascii="Times New Roman" w:hAnsi="Times New Roman"/>
                    </w:rPr>
                    <w:t xml:space="preserve">19; кв. 158 выд. 6,18; кв. 49 выд. 24</w:t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</w:t>
                  </w:r>
                  <w:r>
                    <w:rPr>
                      <w:rFonts w:ascii="Times New Roman" w:hAnsi="Times New Roman"/>
                    </w:rPr>
                    <w:t xml:space="preserve">0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1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После окончания пожароопасного сезона 2024</w:t>
                  </w:r>
                  <w:r>
                    <w:t xml:space="preserve">г.</w:t>
                  </w:r>
                  <w:r/>
                </w:p>
              </w:tc>
              <w:tc>
                <w:tcPr>
                  <w:shd w:val="clear" w:color="auto" w:fill="ffffff" w:themeFill="background1"/>
                  <w:tcW w:w="1180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ГАУ НСО «Маслянинский лесхоз» - </w:t>
                  </w:r>
                  <w:r>
                    <w:rPr>
                      <w:rFonts w:ascii="Times New Roman" w:hAnsi="Times New Roman"/>
                    </w:rPr>
                    <w:t xml:space="preserve">и.о. </w:t>
                  </w:r>
                  <w:r>
                    <w:rPr>
                      <w:rFonts w:ascii="Times New Roman" w:hAnsi="Times New Roman"/>
                    </w:rPr>
                    <w:t xml:space="preserve">директор</w:t>
                  </w:r>
                  <w:r>
                    <w:rPr>
                      <w:rFonts w:ascii="Times New Roman" w:hAnsi="Times New Roman"/>
                    </w:rPr>
                    <w:t xml:space="preserve">а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Зайцев Д.В.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439"/>
              </w:trPr>
              <w:tc>
                <w:tcPr>
                  <w:shd w:val="clear" w:color="auto" w:fill="ffffff" w:themeFill="background1"/>
                  <w:tcW w:w="495" w:type="dxa"/>
                  <w:textDirection w:val="lrTb"/>
                  <w:noWrap w:val="false"/>
                </w:tcPr>
                <w:p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</w:r>
                  <w:r>
                    <w:rPr>
                      <w:rFonts w:eastAsia="Times New Roman"/>
                      <w:color w:val="000000"/>
                    </w:rPr>
                  </w:r>
                </w:p>
              </w:tc>
              <w:tc>
                <w:tcPr>
                  <w:shd w:val="clear" w:color="auto" w:fill="ffffff" w:themeFill="background1"/>
                  <w:tcW w:w="1770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ИТОГО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651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2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260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061" w:type="dxa"/>
                  <w:textDirection w:val="lrTb"/>
                  <w:noWrap w:val="false"/>
                </w:tcPr>
                <w:p>
                  <w:pPr>
                    <w:pStyle w:val="66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shd w:val="clear" w:color="auto" w:fill="ffffff" w:themeFill="background1"/>
                  <w:tcW w:w="1180" w:type="dxa"/>
                  <w:textDirection w:val="lrTb"/>
                  <w:noWrap w:val="false"/>
                </w:tcPr>
                <w:p>
                  <w:pPr>
                    <w:pStyle w:val="66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(проведение профилактич</w:t>
            </w:r>
            <w:r>
              <w:t xml:space="preserve">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>
              <w:t xml:space="preserve">2.9.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</w:t>
            </w:r>
            <w:r>
              <w:t xml:space="preserve">риложении к плану в таблице 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(прочистка просек, прочистка противопожарных минерализованных полос и их обновление)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приложении к плану в таблице </w:t>
            </w:r>
            <w:r>
              <w:t xml:space="preserve">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(эксплуатация пожарных водоемов и подъездов к источникам водоснабжения)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приложении к плану в таблице </w:t>
            </w:r>
            <w:r>
              <w:t xml:space="preserve">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(благоустройство зон отдыха граждан, пребывающих в лесах в соответствии со </w:t>
            </w:r>
            <w:hyperlink r:id="rId8" w:tooltip="https://login.consultant.ru/link/?req=doc&amp;base=LAW&amp;n=453004&amp;dst=100050" w:history="1">
              <w:r>
                <w:rPr>
                  <w:color w:val="0000ff"/>
                </w:rPr>
                <w:t xml:space="preserve">статьей 11</w:t>
              </w:r>
            </w:hyperlink>
            <w:r>
              <w:t xml:space="preserve"> Лесного кодекса Российской Федерации)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приложении к плану в таблице </w:t>
            </w:r>
            <w:r>
              <w:t xml:space="preserve">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На территории Маслянинского лесничества работы по </w:t>
            </w:r>
            <w:r>
              <w:t xml:space="preserve">созданию и содержанию противопожарных заслонов и устройство лиственных опушек </w:t>
            </w:r>
            <w:r>
              <w:t xml:space="preserve">лесохозяйственным регламентом не предусмотрены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(создание и содержание противопожарных заслонов и устройство лиственных опушек)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</w:t>
            </w:r>
            <w:r>
              <w:t xml:space="preserve">риложении к плану в таблице 1.3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(установка и размещение стендов и других знаков и указателей, содержащих информацию о мерах пожарной безопасности в лесах)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приложении к плану в таблице 2.15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(объем и пообъектное распределение проектируемых мер в разрезе лесничеств с указанием квартала, выдела)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2.16.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</w:pPr>
            <w:r>
              <w:t xml:space="preserve">Данная информация представлена в </w:t>
            </w:r>
            <w:r>
              <w:t xml:space="preserve">приложении к плану в таблице 2.16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4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657"/>
              <w:jc w:val="center"/>
            </w:pPr>
            <w:r>
              <w:t xml:space="preserve">(календарный план выполнения мер)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/>
            <w:r/>
          </w:p>
          <w:p>
            <w:pPr>
              <w:pStyle w:val="657"/>
              <w:jc w:val="center"/>
              <w:outlineLvl w:val="1"/>
            </w:pPr>
            <w:r>
              <w:t xml:space="preserve">ГРАФИЧЕСКАЯ ЧАСТЬ</w:t>
            </w:r>
            <w:r/>
          </w:p>
          <w:p>
            <w:pPr>
              <w:pStyle w:val="657"/>
              <w:jc w:val="center"/>
            </w:pPr>
            <w:r>
              <w:t xml:space="preserve">плана противопожарного обустройства лесов на территории лесничества (прилагается)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1. Обзорная карта-схема по принадлежности граничащих территорий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vAlign w:val="bottom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2. Карта-схема погибших и поврежденных лесов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3. Карта-схема природной пожарной опасности лесов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4. Карта-схема лесопожарного зонирования лесничества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5. Карта-схема лесопожарных рисков на территории лесничества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6. Карта-схема размещения лесных дорог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center"/>
              <w:outlineLvl w:val="2"/>
            </w:pPr>
            <w:r>
              <w:t xml:space="preserve">7. Карта-схема противопожарного обустройства лесничества (с указанием объектов противопожарного обустройства в разрезе участковых лесничеств)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57"/>
              <w:jc w:val="both"/>
            </w:pPr>
            <w:r>
              <w:t xml:space="preserve">Условные обозначения</w:t>
            </w:r>
            <w:r/>
          </w:p>
          <w:p>
            <w:pPr>
              <w:pStyle w:val="657"/>
              <w:jc w:val="both"/>
            </w:pPr>
            <w:r>
              <w:t xml:space="preserve">Масштаб</w:t>
            </w:r>
            <w:r/>
          </w:p>
        </w:tc>
      </w:tr>
    </w:tbl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/>
      <w:r/>
    </w:p>
    <w:p>
      <w:pPr>
        <w:pStyle w:val="657"/>
        <w:jc w:val="both"/>
      </w:pPr>
      <w:r>
        <w:t xml:space="preserve">Все карты представлены в приложении к плану .</w:t>
      </w:r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5"/>
    <w:uiPriority w:val="99"/>
  </w:style>
  <w:style w:type="character" w:styleId="45">
    <w:name w:val="Footer Char"/>
    <w:basedOn w:val="654"/>
    <w:link w:val="667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5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5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60">
    <w:name w:val="Balloon Text"/>
    <w:basedOn w:val="653"/>
    <w:link w:val="6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1" w:customStyle="1">
    <w:name w:val="Текст выноски Знак"/>
    <w:basedOn w:val="654"/>
    <w:link w:val="660"/>
    <w:uiPriority w:val="99"/>
    <w:semiHidden/>
    <w:rPr>
      <w:rFonts w:ascii="Segoe UI" w:hAnsi="Segoe UI" w:cs="Segoe UI"/>
      <w:sz w:val="18"/>
      <w:szCs w:val="18"/>
    </w:rPr>
  </w:style>
  <w:style w:type="character" w:styleId="662">
    <w:name w:val="Hyperlink"/>
    <w:basedOn w:val="654"/>
    <w:uiPriority w:val="99"/>
    <w:unhideWhenUsed/>
    <w:rPr>
      <w:color w:val="0563c1" w:themeColor="hyperlink"/>
      <w:u w:val="single"/>
    </w:rPr>
  </w:style>
  <w:style w:type="table" w:styleId="663">
    <w:name w:val="Table Grid"/>
    <w:basedOn w:val="6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665">
    <w:name w:val="Header"/>
    <w:basedOn w:val="653"/>
    <w:link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4"/>
    <w:link w:val="665"/>
    <w:uiPriority w:val="99"/>
  </w:style>
  <w:style w:type="paragraph" w:styleId="667">
    <w:name w:val="Footer"/>
    <w:basedOn w:val="653"/>
    <w:link w:val="6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4"/>
    <w:link w:val="66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53004&amp;dst=1000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Бобровицкий Роман Артурович</dc:creator>
  <cp:keywords/>
  <dc:description/>
  <cp:revision>6</cp:revision>
  <dcterms:created xsi:type="dcterms:W3CDTF">2024-01-23T02:18:00Z</dcterms:created>
  <dcterms:modified xsi:type="dcterms:W3CDTF">2024-04-15T07:39:27Z</dcterms:modified>
</cp:coreProperties>
</file>