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charts/colors4.xml" ContentType="application/vnd.ms-office.chartcolorstyle+xml"/>
  <Override PartName="/word/charts/colors3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docProps/core.xml" ContentType="application/vnd.openxmlformats-package.core-properties+xml"/>
  <Override PartName="/word/charts/chart4.xml" ContentType="application/vnd.openxmlformats-officedocument.drawingml.chart+xml"/>
  <Override PartName="/word/charts/style1.xml" ContentType="application/vnd.ms-office.chartstyle+xml"/>
  <Override PartName="/word/charts/chart1.xml" ContentType="application/vnd.openxmlformats-officedocument.drawingml.chart+xml"/>
  <Override PartName="/word/charts/style4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harts/style3.xml" ContentType="application/vnd.ms-office.chartsty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884" w:type="dxa"/>
        <w:tblLayout w:type="fixed"/>
        <w:tblLook w:val="04A0" w:firstRow="1" w:lastRow="0" w:firstColumn="1" w:lastColumn="0" w:noHBand="0" w:noVBand="1"/>
      </w:tblPr>
      <w:tblGrid>
        <w:gridCol w:w="4459"/>
        <w:gridCol w:w="984"/>
        <w:gridCol w:w="4761"/>
      </w:tblGrid>
      <w:tr>
        <w:tblPrEx/>
        <w:trPr/>
        <w:tc>
          <w:tcPr>
            <w:shd w:val="clear" w:color="ffffff" w:fill="ffffff"/>
            <w:tcW w:w="4459" w:type="dxa"/>
            <w:textDirection w:val="lrTb"/>
            <w:noWrap w:val="false"/>
          </w:tcPr>
          <w:p>
            <w:pPr>
              <w:jc w:val="both"/>
              <w:tabs>
                <w:tab w:val="left" w:pos="623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984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4761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12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Шестернин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(должность, фамилия, инициалы)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1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-85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противопожарного обустройства лесов на территории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Кыштовского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лесничества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01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024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31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028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1"/>
        </w:numPr>
        <w:ind w:firstLine="709"/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лесничества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Кыштовское лесничество расположено на западе Новосибирской области на территории Кыштовского административного района.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площадь территории Кыштовского лесничества по данным ГЛР на 01.01.2024 г. составляет 854709 га, в том числе по участковым лесничествам (лесохозяйственным участкам):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3"/>
        <w:tblW w:w="0" w:type="auto"/>
        <w:tblInd w:w="1609" w:type="dxa"/>
        <w:tblLook w:val="04A0" w:firstRow="1" w:lastRow="0" w:firstColumn="1" w:lastColumn="0" w:noHBand="0" w:noVBand="1"/>
      </w:tblPr>
      <w:tblGrid>
        <w:gridCol w:w="562"/>
        <w:gridCol w:w="3402"/>
        <w:gridCol w:w="2268"/>
      </w:tblGrid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Лесничество Кыштовское,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участкам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Верх-Майзасский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107649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Верх-Тарский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240508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Кыштовский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244989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Колбасинский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49377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Крутихинский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Кыштовский № 2 ЛХУ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Ново-Майзасский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396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лесничеству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854709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лесистость Кыштовского административного района равна 45,4%. Равнинный рельеф территории лесничества обуславливает замедленный поверхностный сток и слабый дренаж почв, преобладают заболоченные насаждения.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территория земель лесного фонда Кыштовского лесничества отнесена к Западно-Сибирскому </w:t>
      </w:r>
      <w:r>
        <w:rPr>
          <w:rFonts w:ascii="Times New Roman" w:hAnsi="Times New Roman" w:cs="Times New Roman"/>
          <w:sz w:val="28"/>
          <w:szCs w:val="28"/>
        </w:rPr>
        <w:t xml:space="preserve">подтаёжно</w:t>
      </w:r>
      <w:r>
        <w:rPr>
          <w:rFonts w:ascii="Times New Roman" w:hAnsi="Times New Roman" w:cs="Times New Roman"/>
          <w:sz w:val="28"/>
          <w:szCs w:val="28"/>
        </w:rPr>
        <w:t xml:space="preserve">-лесостепному району, Лесостепной лесорастительной зоны.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филиала ФБУ «Российский центр защиты леса» «Центр защиты леса Новосибирской области», территория Кыштовского </w:t>
      </w:r>
      <w:r>
        <w:rPr>
          <w:rFonts w:ascii="Times New Roman" w:hAnsi="Times New Roman" w:cs="Times New Roman"/>
          <w:sz w:val="28"/>
          <w:szCs w:val="28"/>
        </w:rPr>
        <w:t xml:space="preserve">лесничества по лесозащитному районированию отнесена к зоне сильной лесопатологической угрозы Лесостепного лесозащитного района.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Приказом Федерального агентства лесного хозяйства от 08.10.2015 № 353 «Об установлении лесосеменного районирования» распределение основных лесообразующих пород по лесосеменным районам, проведено следующее: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Сосна обыкновенная – 11 лесосеменной район.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Сосна кедровая сибирская – 4 лесосеменной район.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Ель сибирская - 10 лесосеменной район.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Лиственница сибирская – 7 лесосеменной район.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22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лесов по целевому назначению и категориям защитных лесов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площади лесов лесничества по целевому назначению и категориям защитных лесов выполнено в соответствии со ст. 10 и 102 ЛК РФ.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Леса лесничества отнесены к защитным (</w:t>
      </w:r>
      <w:r>
        <w:rPr>
          <w:rFonts w:ascii="Times New Roman" w:hAnsi="Times New Roman" w:cs="Times New Roman"/>
          <w:sz w:val="28"/>
          <w:szCs w:val="28"/>
        </w:rPr>
        <w:t xml:space="preserve">48380 га)</w:t>
      </w:r>
      <w:r>
        <w:rPr>
          <w:rFonts w:ascii="Times New Roman" w:hAnsi="Times New Roman" w:cs="Times New Roman"/>
          <w:sz w:val="28"/>
          <w:szCs w:val="28"/>
        </w:rPr>
        <w:t xml:space="preserve"> и эксплуатационным (</w:t>
      </w:r>
      <w:r>
        <w:rPr>
          <w:rFonts w:ascii="Times New Roman" w:hAnsi="Times New Roman" w:cs="Times New Roman"/>
          <w:sz w:val="28"/>
          <w:szCs w:val="28"/>
        </w:rPr>
        <w:t xml:space="preserve">806328 </w:t>
      </w:r>
      <w:r>
        <w:rPr>
          <w:rFonts w:ascii="Times New Roman" w:hAnsi="Times New Roman" w:cs="Times New Roman"/>
          <w:sz w:val="28"/>
          <w:szCs w:val="28"/>
        </w:rPr>
        <w:t xml:space="preserve">га</w:t>
      </w:r>
      <w:r>
        <w:rPr>
          <w:rFonts w:ascii="Times New Roman" w:hAnsi="Times New Roman" w:cs="Times New Roman"/>
          <w:sz w:val="28"/>
          <w:szCs w:val="28"/>
        </w:rPr>
        <w:t xml:space="preserve">) лесам.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Защитные леса представлены следующими категориями: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Леса,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расположенные на особо охраняемых природных территориях, ст. 112 ЛК РФ (ФЗ от 04.12.2006 № 200-ФЗ) Материалы</w:t>
      </w:r>
      <w:r>
        <w:rPr>
          <w:rFonts w:ascii="Times New Roman" w:hAnsi="Times New Roman" w:cs="Times New Roman"/>
          <w:sz w:val="28"/>
          <w:szCs w:val="28"/>
        </w:rPr>
        <w:t xml:space="preserve"> ЕГРН, постановлением главы администрации Новосибирской области от 16.11.2001 № 973, Федеральный закон от 15.02.1995 № 33-ФЗ. Закон Новосибирской области от 26.09.2005 № 325-ОЗ, Приказ Рослесхоза от 25.03.2022 № 441.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Защитные полосы лесов, расположенные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</w:t>
      </w:r>
      <w:r>
        <w:rPr>
          <w:rFonts w:ascii="Times New Roman" w:hAnsi="Times New Roman" w:cs="Times New Roman"/>
          <w:sz w:val="28"/>
          <w:szCs w:val="28"/>
        </w:rPr>
        <w:t xml:space="preserve">твенности субъектов Российской Федерации защитные полосы лесов, расположенные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субъектов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СНК СССР от 14.07.1944 № 14587-р Решение Новосибирского облисполкома от 09.10.1960 № 1161.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Леса, расположенные в </w:t>
      </w:r>
      <w:r>
        <w:rPr>
          <w:rFonts w:ascii="Times New Roman" w:hAnsi="Times New Roman" w:cs="Times New Roman"/>
          <w:sz w:val="28"/>
          <w:szCs w:val="28"/>
        </w:rPr>
        <w:t xml:space="preserve">водоохранных</w:t>
      </w:r>
      <w:r>
        <w:rPr>
          <w:rFonts w:ascii="Times New Roman" w:hAnsi="Times New Roman" w:cs="Times New Roman"/>
          <w:sz w:val="28"/>
          <w:szCs w:val="28"/>
        </w:rPr>
        <w:t xml:space="preserve"> зонах</w:t>
      </w:r>
      <w:r>
        <w:rPr>
          <w:rFonts w:ascii="Times New Roman" w:hAnsi="Times New Roman" w:cs="Times New Roman"/>
          <w:sz w:val="28"/>
          <w:szCs w:val="28"/>
        </w:rPr>
        <w:t xml:space="preserve"> Материалы ЕГРН, части 4-6 статьи 65 Водного кодекса РФ (ФЗ от 03.06.2006 №74-ФЗ), статьи 111, 113 ЛК РФ (ФЗ от 04.12.2006 № 200-ФЗ), Приказ Рослесхоза от 25.03.2022 № 441.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Леса, расположенные в пустынных, полупустынны</w:t>
      </w:r>
      <w:r>
        <w:rPr>
          <w:rFonts w:ascii="Times New Roman" w:hAnsi="Times New Roman" w:cs="Times New Roman"/>
          <w:sz w:val="28"/>
          <w:szCs w:val="28"/>
        </w:rPr>
        <w:t xml:space="preserve">х, лесостепных, лесотундровых зонах, степях, горах. Распоряжение СМ РСФСР от 2.08.1948 № 1067-р; решение Новосибирского облисполкома от 22.08. 1985 № 829; Распоряжение СНК СССР от 28.12.43 № 244464-р Решение Новосибирского облисполкома от 08.11.1982 № 692.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Запретные полосы лесов, расположенные вдоль водных объектов; Постановление СНК СССР от 27.03.1945 №557; Решение Новосибирского облисполкома от 19.10.1982 № 148.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-Эксплуатационные леса. Статья 117 ЛК РФ, (ФЗ от 04.12.2006 № 200- ФЗ) Постановление СНК СССР от 23.04.1943 № 430 Приказ Рослесхоза от 25.03.2022 № 441.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лесных земель в общей площади земель лесного фонда лесничества составляет 60,3%, из них 59,3% - покрытые лесной растительностью земли и 1,0 % - не покрытые.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использования, охраны, защиты, воспроизводства лесов, расположенных на особо охраняемых природных территори</w:t>
      </w:r>
      <w:r>
        <w:rPr>
          <w:rFonts w:ascii="Times New Roman" w:hAnsi="Times New Roman" w:cs="Times New Roman"/>
          <w:sz w:val="28"/>
          <w:szCs w:val="28"/>
        </w:rPr>
        <w:t xml:space="preserve">ях (ООПТ) определяются Приказом Министерства природных ресурсов и экологии Российской Федерации от 16.07.2007 № 181 «Об утверждении особенностей использования, охраны, защиты, воспроизводства лесов, расположенных на особо охраняемых природных территориях».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ООПТ в соответствии с ее статусом и видом в нормативных документах о создании ООПТ устанавливается специальный режим охраны </w:t>
      </w:r>
      <w:r>
        <w:rPr>
          <w:rFonts w:ascii="Times New Roman" w:hAnsi="Times New Roman" w:cs="Times New Roman"/>
          <w:sz w:val="28"/>
          <w:szCs w:val="28"/>
        </w:rPr>
        <w:t xml:space="preserve">лесов,  ведения</w:t>
      </w:r>
      <w:r>
        <w:rPr>
          <w:rFonts w:ascii="Times New Roman" w:hAnsi="Times New Roman" w:cs="Times New Roman"/>
          <w:sz w:val="28"/>
          <w:szCs w:val="28"/>
        </w:rPr>
        <w:t xml:space="preserve"> лесного хозяйства и </w:t>
      </w:r>
      <w:r>
        <w:rPr>
          <w:rFonts w:ascii="Times New Roman" w:hAnsi="Times New Roman" w:cs="Times New Roman"/>
          <w:sz w:val="28"/>
          <w:szCs w:val="28"/>
        </w:rPr>
        <w:t xml:space="preserve">лесоэксплуатации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лесничества отнесена к зоне авиационного обнаружения и наземного тушения на площади 854709 тыс. га и зоне наземного обнаружения и тушения на площади 315926 тыс. га.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действующей методикой оценки </w:t>
      </w:r>
      <w:r>
        <w:rPr>
          <w:rFonts w:ascii="Times New Roman" w:hAnsi="Times New Roman" w:cs="Times New Roman"/>
          <w:sz w:val="28"/>
          <w:szCs w:val="28"/>
        </w:rPr>
        <w:t xml:space="preserve">горимости</w:t>
      </w:r>
      <w:r>
        <w:rPr>
          <w:rFonts w:ascii="Times New Roman" w:hAnsi="Times New Roman" w:cs="Times New Roman"/>
          <w:sz w:val="28"/>
          <w:szCs w:val="28"/>
        </w:rPr>
        <w:t xml:space="preserve"> лесная территория лесничества характеризуется высоким классом пожарной опасности – продолжительность пожароопасного периода составляет 160-190 дней. Территория лесничества отнесена к зоне лесоавиационных работ.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площади земель лесного фонда лесничества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классам пожарной опасности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3"/>
        <w:tblW w:w="91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2"/>
        <w:gridCol w:w="1048"/>
        <w:gridCol w:w="786"/>
        <w:gridCol w:w="1048"/>
        <w:gridCol w:w="1048"/>
        <w:gridCol w:w="921"/>
        <w:gridCol w:w="917"/>
        <w:gridCol w:w="896"/>
      </w:tblGrid>
      <w:tr>
        <w:tblPrEx/>
        <w:trPr>
          <w:trHeight w:val="1037"/>
        </w:trPr>
        <w:tc>
          <w:tcPr>
            <w:tcW w:w="24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Лесничество Кыштовское,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участкам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485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пожарной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7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24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7" w:type="dxa"/>
            <w:vMerge w:val="continue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6" w:type="dxa"/>
            <w:vMerge w:val="continue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24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Верх-Майзасский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72753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107649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24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Верх-Тарский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70141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164447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240508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24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Кыштовский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24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78053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244989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24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Колбасинский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49377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49377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24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Крутихинский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33232,4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468,1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24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Кыштовский № 2 ЛХУ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745,9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62772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24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Ново-Майзасский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58324,4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3565,2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tcW w:w="24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лесничеству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13495,2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28923,3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506915,8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305322,3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854709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класс пожарной опасности составляет – 4,1. Повышает пожарную опасность и доступность лесного фонда лесного участка для </w:t>
      </w:r>
      <w:r>
        <w:rPr>
          <w:rFonts w:ascii="Times New Roman" w:hAnsi="Times New Roman" w:cs="Times New Roman"/>
          <w:sz w:val="28"/>
          <w:szCs w:val="28"/>
        </w:rPr>
        <w:t xml:space="preserve">любого вида транспорта и его посещение населением в летний период во время сбора грибов и ягод.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лесничества возникают низовые пожары, причиной которых в большинстве своем является переход с земель иных категорий. Малый процент возникновения лесных пожаров происходит по вине местного населения и линейных объектов.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пожароопасным является весенний период от момента схода снегового покрова до появления обильной травяной растительности (апрель — май). Этот период характерен малой относительной влажностью воздуха, обилием солнечных дней.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летний период влажность воздуха и напочвенного покрова повышается. Обильная травяная растительность и листва на кустарниках и деревьях служат хорошим препятствием на пути распространения огня. Условия для возникновения лесных пожаров ухудшаются.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вегетационного периода условия вновь способствуют возникновению загораний, так как происходит отмирание и высыхание травянистой растительности, опадение листвы. Количество пожаров увеличивается.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лесных пожаров на территории Кыштовского лесничества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5168529" cy="3265715"/>
            <wp:effectExtent l="0" t="0" r="13335" b="1143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414645" cy="3383915"/>
            <wp:effectExtent l="0" t="0" r="14604" b="6985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260769" cy="3458845"/>
            <wp:effectExtent l="0" t="0" r="16510" b="8255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047013" cy="3764478"/>
            <wp:effectExtent l="0" t="0" r="1270" b="762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5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лесов от пожаров осуществляется в соответствии с Федеральным законом от 21.12.1994 г. №69-ФЗ «О пожарной безопасности» и ст. 51-53, 57, 60 ЛК РФ.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к обеспечению пожарной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в лесах при использовании, охране, защите, воспроизводстве лесов, осуществлении иной деятельности в лесах, а также при пребывании граждан определяются «Правилами пожарной безопасности в лесах», утверждёнными постановлением Правительства РФ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октября 2020 г. № 1614.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5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Лесной фонд арендуемого лесного участка относится к району применения наземных и авиационных сил и средств в зоне авиационного мониторинга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1.2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Организация, выполняющая работы по осуществлению мер пожарной безопасности на землях лесного фонда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Кыштовского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лесничества на основании Государственного задания на оказание государственных услуг (выполнение работ) по выполнению мероприятий по охране, защите, воспроизводству лесов, расположенных на лесохозяйственных участках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Кыштовского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лесничества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Кыштовского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района Новосибирской области, с одновременной продажей лесных насаждений, для заготовки древесины– ГАУ НСО  «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Кыштовский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лесхоз», расположенный по адресу: с.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Кыштовка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, ул.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Сибирская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тел./факс 8 (383-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71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21-702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,  Директор –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Фомин Юрий Алексеевич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Объем мероприятий по противопожарному устройству лесов лесничества определен с учетом Приказа Федерального агентства лесного хозяйства от 27.04.2012 № 174 «Об установлении нормативов противопожарного обустройства лесов» и приведен в таблице.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по противопожарному обустройству лесов лесничества</w:t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315"/>
        <w:gridCol w:w="520"/>
        <w:gridCol w:w="2985"/>
      </w:tblGrid>
      <w:tr>
        <w:tblPrEx/>
        <w:trPr>
          <w:trHeight w:val="826"/>
          <w:tblHeader/>
        </w:trPr>
        <w:tc>
          <w:tcPr>
            <w:shd w:val="clear" w:color="auto" w:fill="auto"/>
            <w:tcW w:w="2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vAlign w:val="center"/>
            <w:textDirection w:val="lrTb"/>
            <w:noWrap w:val="false"/>
          </w:tcPr>
          <w:p>
            <w:pPr>
              <w:ind w:left="132" w:right="13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Меры противопожарного обустройства лесов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изм.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Количество проектируемых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2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vAlign w:val="center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Установка и размещение стендов и других знаков и указателей, содержащих информацию о мерах пожарной безопасности в лесах в виде: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vAlign w:val="center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стендов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vAlign w:val="center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плакатов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vAlign w:val="center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объявлений (аншлагов) и других знаков и указателей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06"/>
        </w:trPr>
        <w:tc>
          <w:tcPr>
            <w:shd w:val="clear" w:color="auto" w:fill="auto"/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vAlign w:val="center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Благоустройство зон отдыха граждан, пребывающих в лесах в соответствии со статьей 11 Лесного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планируется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Лесные дороги, предназначенные для охраны лесов от пожаров: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строительство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реконструкция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эксплуатация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Строительство, реконструкция и эксплуатация посадочных площадок для самолетов, вертолетов, используемых в целях проведения авиационных работ по охране и защите лесов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планируется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Прокладка противопожарных разрывов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планируется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Прокладка просек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планируется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Устройство противопожарных минерализованных полос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Прочистка и обновление: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просек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планируется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противопожарных минерализованных полос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Строительство, реконструкция и эксплуатация: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-пожарных наблюдательных пунктов (вышек, мачт, павильонов, и других наблюдательных пунктов)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не планируется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-пунктов сосредоточения противопожарного инвентаря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не планируется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-организация и содержание ЛПС 1 типа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-организация и содержание ЛПС 2 типа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Устройство пожарных водоемов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не планируется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Устройство подъездов к источникам противопожарного водоснабжения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не планируется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Эксплуатация пожарных водоемов и подъездов к источникам водоснабжения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по количеству имеющихся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га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в соответствии с лесным планом Новосибирской области и планами тушения лесных пожаров на территории лесничества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га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130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,0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Проведение работ по гидромелиорации: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не планируется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строительство лесоосушительных систем на осушенных землях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км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строительство дорог на осушенных лесных землях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создание шлюзов на осушенной сети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8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15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Проведение противопожарной пропаганды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тематические статьи в газетах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,0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тематические передачи по телевидению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не планируется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распространение листовок, плакатов, календарей и буклетов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1000,0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81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843" w:type="pct"/>
            <w:textDirection w:val="lrTb"/>
            <w:noWrap w:val="false"/>
          </w:tcPr>
          <w:p>
            <w:pPr>
              <w:ind w:left="132" w:right="133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тематические лекции в образовательных учреждениях, на предприятиях и организациях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2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шт.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  <w:tc>
          <w:tcPr>
            <w:shd w:val="clear" w:color="auto" w:fill="auto"/>
            <w:tcW w:w="159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  <w:t xml:space="preserve">400,0</w:t>
            </w:r>
            <w:r>
              <w:rPr>
                <w:rFonts w:ascii="Times New Roman" w:hAnsi="Times New Roman" w:eastAsia="Calibri" w:cs="Times New Roman"/>
                <w:sz w:val="23"/>
                <w:szCs w:val="23"/>
                <w:shd w:val="clear" w:color="auto" w:fill="ffffff"/>
                <w:lang w:eastAsia="ru-RU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состоянии противопожарного обустройства лесов в разрезе лесохозяйственных участков представлена в приложении в таблице 1.3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 Проектируемые меры противопожарного обустройства лесов с учетом затрат на их выполнение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Проектируемые меры противопожарного обустройства лесов с учетом   затрат на их выполнение на территории лесничества представлены в приложении в таблице 2.1-2.14.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 пообъектное распределение проектируемых мер противопожарного обустройства лесов в разрезе участковых лесничеств представлено в приложении в таблице 2.15.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выполнения мероприятий противопожарного обустройства лесов представлен в приложении в таблице 2.16.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Cs/>
          <w:sz w:val="28"/>
          <w:szCs w:val="28"/>
        </w:rPr>
        <w:t xml:space="preserve">. Графическая часть плана противопожарного обустройства лесов на территории Венгеровского лесничества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Обзорная карта-схема по принадлежности граничащих территорий, карта-схема погибших и поврежденных лесов, карта-схема лесопожарных рисков на территории лесничества, карта-схема размещения лесных дорог представлены в приложении 1.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Карта-схема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лесопожарного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зонирования, карта-схема противопожарного обустройства лесничества представлена в приложении 2.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Карта-схема природной пожарной опасности лесов представлена в приложении 3.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4">
    <w:name w:val="List Paragraph"/>
    <w:basedOn w:val="619"/>
    <w:uiPriority w:val="34"/>
    <w:qFormat/>
    <w:pPr>
      <w:contextualSpacing/>
      <w:ind w:left="720"/>
    </w:pPr>
  </w:style>
  <w:style w:type="paragraph" w:styleId="6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hart" Target="charts/chart1.xml" /><Relationship Id="rId10" Type="http://schemas.openxmlformats.org/officeDocument/2006/relationships/chart" Target="charts/chart2.xml" /><Relationship Id="rId11" Type="http://schemas.openxmlformats.org/officeDocument/2006/relationships/chart" Target="charts/chart3.xml" /><Relationship Id="rId12" Type="http://schemas.openxmlformats.org/officeDocument/2006/relationships/chart" Target="charts/chart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microsoft.com/office/2011/relationships/chartStyle" Target="style3.xml" /><Relationship Id="rId2" Type="http://schemas.microsoft.com/office/2011/relationships/chartColorStyle" Target="colors3.xml" /><Relationship Id="rId3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microsoft.com/office/2011/relationships/chartStyle" Target="style4.xml" /><Relationship Id="rId2" Type="http://schemas.microsoft.com/office/2011/relationships/chartColorStyle" Target="colors4.xml" /><Relationship Id="rId3" Type="http://schemas.openxmlformats.org/officeDocument/2006/relationships/package" Target="../embeddings/Microsoft_Excel_Worksheet4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/>
                <a:cs typeface="Times New Roman"/>
              </a:rPr>
              <a:t>Динамика лесных пожаров на территории Кыштовского лесничества 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1"/>
                <c:pt idx="0">
                  <c:v xml:space="preserve">Категория 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1"/>
                <c:pt idx="0">
                  <c:v xml:space="preserve">Категория 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1"/>
                <c:pt idx="0">
                  <c:v xml:space="preserve">Категория 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58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219"/>
        <c:shape val="box"/>
        <c:axId val="418407120"/>
        <c:axId val="418401216"/>
        <c:axId val="403153904"/>
      </c:bar3DChart>
      <c:catAx>
        <c:axId val="41840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401216"/>
        <c:crosses val="autoZero"/>
        <c:auto val="1"/>
        <c:lblAlgn val="ctr"/>
        <c:lblOffset val="100"/>
        <c:noMultiLvlLbl val="0"/>
      </c:catAx>
      <c:valAx>
        <c:axId val="41840121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407120"/>
        <c:crosses val="autoZero"/>
        <c:crossBetween val="between"/>
      </c:valAx>
      <c:serAx>
        <c:axId val="403153904"/>
        <c:scaling>
          <c:orientation val="minMax"/>
        </c:scaling>
        <c:delete val="0"/>
        <c:axPos val="b"/>
        <c:majorTickMark val="out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401216"/>
        <c:crosses val="autoZero"/>
      </c:ser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defRPr sz="1400" b="0" i="0" u="none" strike="noStrike" spc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/>
                <a:cs typeface="Times New Roman"/>
              </a:rPr>
              <a:t>Динамика лесных пожаров на территории лесохозяйственных участков Кыштовского лесничества</a:t>
            </a:r>
            <a:endParaRPr/>
          </a:p>
          <a:p>
            <a:pPr marL="0" marR="0" indent="0" algn="ctr" defTabSz="914400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defRPr sz="1400" b="0" i="0" u="none" strike="noStrike" spc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Лист1!$A$2:$A$8</c:f>
              <c:strCache>
                <c:ptCount val="7"/>
                <c:pt idx="0">
                  <c:v xml:space="preserve">Кыштовский №2</c:v>
                </c:pt>
                <c:pt idx="1">
                  <c:v>Ново-Майзасский</c:v>
                </c:pt>
                <c:pt idx="2">
                  <c:v xml:space="preserve">Кыштовский №1</c:v>
                </c:pt>
                <c:pt idx="3">
                  <c:v>Верх-Тарский</c:v>
                </c:pt>
                <c:pt idx="4">
                  <c:v>Верх-Майзасский</c:v>
                </c:pt>
                <c:pt idx="5">
                  <c:v>Колбасинский</c:v>
                </c:pt>
                <c:pt idx="6">
                  <c:v>Крутихинский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Лист1!$A$2:$A$8</c:f>
              <c:strCache>
                <c:ptCount val="7"/>
                <c:pt idx="0">
                  <c:v xml:space="preserve">Кыштовский №2</c:v>
                </c:pt>
                <c:pt idx="1">
                  <c:v>Ново-Майзасский</c:v>
                </c:pt>
                <c:pt idx="2">
                  <c:v xml:space="preserve">Кыштовский №1</c:v>
                </c:pt>
                <c:pt idx="3">
                  <c:v>Верх-Тарский</c:v>
                </c:pt>
                <c:pt idx="4">
                  <c:v>Верх-Майзасский</c:v>
                </c:pt>
                <c:pt idx="5">
                  <c:v>Колбасинский</c:v>
                </c:pt>
                <c:pt idx="6">
                  <c:v>Крутихинский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Лист1!$A$2:$A$8</c:f>
              <c:strCache>
                <c:ptCount val="7"/>
                <c:pt idx="0">
                  <c:v xml:space="preserve">Кыштовский №2</c:v>
                </c:pt>
                <c:pt idx="1">
                  <c:v>Ново-Майзасский</c:v>
                </c:pt>
                <c:pt idx="2">
                  <c:v xml:space="preserve">Кыштовский №1</c:v>
                </c:pt>
                <c:pt idx="3">
                  <c:v>Верх-Тарский</c:v>
                </c:pt>
                <c:pt idx="4">
                  <c:v>Верх-Майзасский</c:v>
                </c:pt>
                <c:pt idx="5">
                  <c:v>Колбасинский</c:v>
                </c:pt>
                <c:pt idx="6">
                  <c:v>Крутихинский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15</c:v>
                </c:pt>
                <c:pt idx="1">
                  <c:v>10</c:v>
                </c:pt>
                <c:pt idx="2">
                  <c:v>6</c:v>
                </c:pt>
                <c:pt idx="3">
                  <c:v>12</c:v>
                </c:pt>
                <c:pt idx="4">
                  <c:v>3</c:v>
                </c:pt>
                <c:pt idx="5">
                  <c:v>5</c:v>
                </c:pt>
                <c:pt idx="6">
                  <c:v>7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219"/>
        <c:shape val="box"/>
        <c:axId val="413948456"/>
        <c:axId val="413949440"/>
      </c:bar3DChart>
      <c:catAx>
        <c:axId val="413948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949440"/>
        <c:crosses val="autoZero"/>
        <c:auto val="1"/>
        <c:lblAlgn val="ctr"/>
        <c:lblOffset val="100"/>
        <c:noMultiLvlLbl val="0"/>
      </c:catAx>
      <c:valAx>
        <c:axId val="41394944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948456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/>
                <a:cs typeface="Times New Roman"/>
              </a:rPr>
              <a:t>Динамика площадей, пройденных</a:t>
            </a:r>
            <a:r>
              <a:rPr lang="ru-RU">
                <a:latin typeface="Times New Roman"/>
                <a:cs typeface="Times New Roman"/>
              </a:rPr>
              <a:t> лесными пожарами на территории Кыштовского лесничества</a:t>
            </a:r>
            <a:r>
              <a:rPr lang="ru-RU">
                <a:latin typeface="Times New Roman"/>
                <a:cs typeface="Times New Roman"/>
              </a:rPr>
              <a:t> 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1"/>
                <c:pt idx="0">
                  <c:v>Кыштовское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1"/>
                <c:pt idx="0">
                  <c:v>Кыштовское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1"/>
                <c:pt idx="0">
                  <c:v>Кыштовское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471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219"/>
        <c:shape val="box"/>
        <c:axId val="437924112"/>
        <c:axId val="437918536"/>
        <c:axId val="403319912"/>
      </c:bar3DChart>
      <c:catAx>
        <c:axId val="43792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918536"/>
        <c:crosses val="autoZero"/>
        <c:auto val="1"/>
        <c:lblAlgn val="ctr"/>
        <c:lblOffset val="100"/>
        <c:noMultiLvlLbl val="0"/>
      </c:catAx>
      <c:valAx>
        <c:axId val="43791853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924112"/>
        <c:crosses val="autoZero"/>
        <c:crossBetween val="between"/>
      </c:valAx>
      <c:serAx>
        <c:axId val="403319912"/>
        <c:scaling>
          <c:orientation val="minMax"/>
        </c:scaling>
        <c:delete val="0"/>
        <c:axPos val="b"/>
        <c:majorTickMark val="out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918536"/>
        <c:crosses val="autoZero"/>
      </c:ser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/>
                <a:cs typeface="Times New Roman"/>
              </a:rPr>
              <a:t>Динамика площадей,</a:t>
            </a:r>
            <a:r>
              <a:rPr lang="ru-RU">
                <a:latin typeface="Times New Roman"/>
                <a:cs typeface="Times New Roman"/>
              </a:rPr>
              <a:t> пройденных лесными пожарами на территории лесохозяйственных участков Кыштовского лесничества</a:t>
            </a:r>
            <a:endParaRPr lang="ru-RU"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085150"/>
          <c:y val="0.035714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Лист1!$A$2:$A$8</c:f>
              <c:strCache>
                <c:ptCount val="7"/>
                <c:pt idx="0">
                  <c:v xml:space="preserve">Кыштовский №2</c:v>
                </c:pt>
                <c:pt idx="1">
                  <c:v>Ново-Майзасский</c:v>
                </c:pt>
                <c:pt idx="2">
                  <c:v xml:space="preserve">Кыштовский №1</c:v>
                </c:pt>
                <c:pt idx="3">
                  <c:v>Верх-Тарский</c:v>
                </c:pt>
                <c:pt idx="4">
                  <c:v>Верх-Майзасский</c:v>
                </c:pt>
                <c:pt idx="5">
                  <c:v>Колбасинский</c:v>
                </c:pt>
                <c:pt idx="6">
                  <c:v>Крутихинский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85</c:v>
                </c:pt>
                <c:pt idx="1">
                  <c:v>44.5</c:v>
                </c:pt>
                <c:pt idx="2">
                  <c:v>67</c:v>
                </c:pt>
                <c:pt idx="3">
                  <c:v>17</c:v>
                </c:pt>
                <c:pt idx="4">
                  <c:v>19</c:v>
                </c:pt>
                <c:pt idx="5">
                  <c:v>14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Лист1!$A$2:$A$8</c:f>
              <c:strCache>
                <c:ptCount val="7"/>
                <c:pt idx="0">
                  <c:v xml:space="preserve">Кыштовский №2</c:v>
                </c:pt>
                <c:pt idx="1">
                  <c:v>Ново-Майзасский</c:v>
                </c:pt>
                <c:pt idx="2">
                  <c:v xml:space="preserve">Кыштовский №1</c:v>
                </c:pt>
                <c:pt idx="3">
                  <c:v>Верх-Тарский</c:v>
                </c:pt>
                <c:pt idx="4">
                  <c:v>Верх-Майзасский</c:v>
                </c:pt>
                <c:pt idx="5">
                  <c:v>Колбасинский</c:v>
                </c:pt>
                <c:pt idx="6">
                  <c:v>Крутихинский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26.2</c:v>
                </c:pt>
                <c:pt idx="1">
                  <c:v>16.4</c:v>
                </c:pt>
                <c:pt idx="2">
                  <c:v>4.5</c:v>
                </c:pt>
                <c:pt idx="3">
                  <c:v>0</c:v>
                </c:pt>
                <c:pt idx="4">
                  <c:v>2.4</c:v>
                </c:pt>
                <c:pt idx="5">
                  <c:v>4</c:v>
                </c:pt>
                <c:pt idx="6">
                  <c:v>13.9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Лист1!$A$2:$A$8</c:f>
              <c:strCache>
                <c:ptCount val="7"/>
                <c:pt idx="0">
                  <c:v xml:space="preserve">Кыштовский №2</c:v>
                </c:pt>
                <c:pt idx="1">
                  <c:v>Ново-Майзасский</c:v>
                </c:pt>
                <c:pt idx="2">
                  <c:v xml:space="preserve">Кыштовский №1</c:v>
                </c:pt>
                <c:pt idx="3">
                  <c:v>Верх-Тарский</c:v>
                </c:pt>
                <c:pt idx="4">
                  <c:v>Верх-Майзасский</c:v>
                </c:pt>
                <c:pt idx="5">
                  <c:v>Колбасинский</c:v>
                </c:pt>
                <c:pt idx="6">
                  <c:v>Крутихинский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125.9</c:v>
                </c:pt>
                <c:pt idx="1">
                  <c:v>60.9</c:v>
                </c:pt>
                <c:pt idx="2">
                  <c:v>64.6</c:v>
                </c:pt>
                <c:pt idx="3">
                  <c:v>142</c:v>
                </c:pt>
                <c:pt idx="4">
                  <c:v>7.4</c:v>
                </c:pt>
                <c:pt idx="5">
                  <c:v>24.9</c:v>
                </c:pt>
                <c:pt idx="6">
                  <c:v>45.3</c:v>
                </c:pt>
              </c:numCache>
            </c:numRef>
          </c:val>
        </c:ser>
        <c:dLbls>
          <c:dLblPos val="outEnd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219"/>
        <c:overlap val="-27"/>
        <c:axId val="413931728"/>
        <c:axId val="413935008"/>
      </c:barChart>
      <c:catAx>
        <c:axId val="41393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935008"/>
        <c:crosses val="autoZero"/>
        <c:auto val="1"/>
        <c:lblAlgn val="ctr"/>
        <c:lblOffset val="100"/>
        <c:noMultiLvlLbl val="0"/>
      </c:catAx>
      <c:valAx>
        <c:axId val="413935008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931728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</cp:revision>
  <dcterms:created xsi:type="dcterms:W3CDTF">2024-03-26T06:45:00Z</dcterms:created>
  <dcterms:modified xsi:type="dcterms:W3CDTF">2024-04-15T08:06:19Z</dcterms:modified>
</cp:coreProperties>
</file>