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22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УТВЕРЖДАЮ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_19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_1937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Шестернин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_19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19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противопожарного обустройства лесов на территории  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4"/>
        </w:rPr>
        <w:t xml:space="preserve">Чулымского</w:t>
      </w:r>
      <w:r>
        <w:rPr>
          <w:rFonts w:ascii="Times New Roman" w:hAnsi="Times New Roman" w:cs="Times New Roman"/>
          <w:sz w:val="28"/>
          <w:szCs w:val="24"/>
        </w:rPr>
        <w:t xml:space="preserve"> лесничества</w:t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лесничества)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период с "01 " января 2024 г. по "31" декабря 2028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Краткая характеристика лесничества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Территория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Чулымского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лесничества относится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лесостепной лесорастительной зоне,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Западно-Сибирскому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подтаежно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-лесостепному району</w:t>
      </w:r>
      <w:r/>
    </w:p>
    <w:p>
      <w:pPr>
        <w:ind w:right="113"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Распределение лесов лесничества (лесопарка)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13"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лесорастительным зонам и лесным районам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13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9740" w:type="dxa"/>
        <w:tblInd w:w="7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-5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1718"/>
        <w:gridCol w:w="1300"/>
        <w:gridCol w:w="2102"/>
        <w:gridCol w:w="1565"/>
        <w:gridCol w:w="1044"/>
        <w:gridCol w:w="1019"/>
      </w:tblGrid>
      <w:tr>
        <w:tblPrEx/>
        <w:trPr>
          <w:trHeight w:val="20"/>
          <w:tblHeader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4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участковых лесничеств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Лесорастительная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зона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2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2022" w:type="dxa"/>
            <w:textDirection w:val="lrTb"/>
            <w:noWrap w:val="false"/>
          </w:tcPr>
          <w:p>
            <w:pPr>
              <w:ind w:right="-9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Зона лесозащитного районирования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506" w:type="dxa"/>
            <w:textDirection w:val="lrTb"/>
            <w:noWrap w:val="false"/>
          </w:tcPr>
          <w:p>
            <w:pPr>
              <w:ind w:right="-9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Зона лесосеменного районирования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14" w:type="dxa"/>
            <w:textDirection w:val="lrTb"/>
            <w:noWrap w:val="false"/>
          </w:tcPr>
          <w:p>
            <w:pPr>
              <w:ind w:right="-9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9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лесных кварталов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29" w:type="dxa"/>
            <w:textDirection w:val="lrTb"/>
            <w:noWrap w:val="false"/>
          </w:tcPr>
          <w:p>
            <w:pPr>
              <w:ind w:right="-5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5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9"/>
          <w:tblHeader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46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1.Верх-Каргатский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/>
            <w:bookmarkStart w:id="0" w:name="_Toc294561278"/>
            <w:r/>
            <w:bookmarkStart w:id="1" w:name="_Toc480184064"/>
            <w:r/>
            <w:bookmarkEnd w:id="0"/>
            <w:r/>
            <w:bookmarkEnd w:id="1"/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Лесостепная лесорастительная зона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2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bookmarkStart w:id="2" w:name="__DdeLink__35014_1223826405"/>
            <w:r/>
            <w:bookmarkEnd w:id="2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Западно-Сибирский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подтаежно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-лесостепной район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20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Степной лесозащитный район (зона сильной лесопатологической угрозы)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Сосна обыкновенная-12. Сосна кедровая сибирская-4.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Лиственица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сибирская-7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1-279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2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240476</w:t>
            </w:r>
            <w:r/>
          </w:p>
        </w:tc>
      </w:tr>
      <w:tr>
        <w:tblPrEx/>
        <w:trPr>
          <w:trHeight w:val="20"/>
          <w:tblHeader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465" w:type="dxa"/>
            <w:textDirection w:val="lrTb"/>
            <w:noWrap w:val="false"/>
          </w:tcPr>
          <w:p>
            <w:pPr>
              <w:ind w:left="-10" w:right="-81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2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20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1-454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2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59654</w:t>
            </w:r>
            <w:r/>
          </w:p>
        </w:tc>
      </w:tr>
      <w:tr>
        <w:tblPrEx/>
        <w:trPr>
          <w:trHeight w:val="20"/>
          <w:tblHeader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465" w:type="dxa"/>
            <w:textDirection w:val="lrTb"/>
            <w:noWrap w:val="false"/>
          </w:tcPr>
          <w:p>
            <w:pPr>
              <w:ind w:left="-10" w:right="-81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2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20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1-424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2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44899</w:t>
            </w:r>
            <w:r/>
          </w:p>
        </w:tc>
      </w:tr>
      <w:tr>
        <w:tblPrEx/>
        <w:trPr>
          <w:trHeight w:val="20"/>
          <w:tblHeader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465" w:type="dxa"/>
            <w:textDirection w:val="lrTb"/>
            <w:noWrap w:val="false"/>
          </w:tcPr>
          <w:p>
            <w:pPr>
              <w:ind w:right="-81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Всего по лесничеству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2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20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1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-5" w:type="dxa"/>
            </w:tcMar>
            <w:tcW w:w="9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345029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Распределение лесов по целевому назначению и категориям защитных лесов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34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807" w:type="dxa"/>
        <w:tblInd w:w="-35" w:type="dxa"/>
        <w:tblBorders>
          <w:top w:val="single" w:color="000001" w:sz="4" w:space="0"/>
          <w:left w:val="single" w:color="000001" w:sz="4" w:space="0"/>
          <w:bottom w:val="single" w:color="00000A" w:sz="4" w:space="0"/>
          <w:right w:val="single" w:color="000001" w:sz="4" w:space="0"/>
          <w:insideH w:val="single" w:color="00000A" w:sz="4" w:space="0"/>
          <w:insideV w:val="single" w:color="000001" w:sz="4" w:space="0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8149"/>
        <w:gridCol w:w="1658"/>
      </w:tblGrid>
      <w:tr>
        <w:tblPrEx/>
        <w:trPr>
          <w:trHeight w:val="781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A" w:sz="4" w:space="0"/>
              <w:right w:val="single" w:color="000001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Целевое назначение лесов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A" w:sz="4" w:space="0"/>
              <w:right w:val="single" w:color="000001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Площадь, га.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лесов по лесничеству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345029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Защитные леса,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93399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Леса, расположенные в защитных полосах лесов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35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Ценные леса,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92687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лесостепные леса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89728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запретные полосы лесов, расположенные вдоль водных объектов;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2959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1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.Эксплуатационные леса-всего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251630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Распределение площади лесничества по классам пожарной опасности (площадь, га)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15" w:type="dxa"/>
        <w:tblInd w:w="8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040"/>
        <w:gridCol w:w="914"/>
        <w:gridCol w:w="899"/>
        <w:gridCol w:w="1049"/>
        <w:gridCol w:w="1079"/>
        <w:gridCol w:w="996"/>
        <w:gridCol w:w="1165"/>
        <w:gridCol w:w="873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vAlign w:val="center"/>
            <w:vMerge w:val="restart"/>
            <w:textDirection w:val="lrTb"/>
            <w:noWrap w:val="false"/>
          </w:tcPr>
          <w:p>
            <w:pPr>
              <w:ind w:left="-10" w:firstLine="1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Участковое лесничество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1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Классы  пожарной опасности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Ср. класс</w:t>
            </w:r>
            <w:r/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7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Верх-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Каргатский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9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3571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29224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7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183491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23982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240476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3,9</w:t>
            </w:r>
            <w:r/>
          </w:p>
        </w:tc>
      </w:tr>
      <w:tr>
        <w:tblPrEx/>
        <w:trPr>
          <w:trHeight w:val="28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Чулымский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2891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9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6097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47841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7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59654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2,8</w:t>
            </w:r>
            <w:r/>
          </w:p>
        </w:tc>
      </w:tr>
      <w:tr>
        <w:tblPrEx/>
        <w:trPr>
          <w:trHeight w:val="28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Ужанихинский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3148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9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40693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7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44899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2,9</w:t>
            </w:r>
            <w:r/>
          </w:p>
        </w:tc>
      </w:tr>
      <w:tr>
        <w:tblPrEx/>
        <w:trPr>
          <w:trHeight w:val="28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6247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99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9668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9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117758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79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187374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23982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65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345029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3,2</w:t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ind w:firstLine="72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лесного фонда лесничества средний класс пожарной опасности равен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.2.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tabs>
          <w:tab w:val="left" w:pos="12100" w:leader="none"/>
        </w:tabs>
      </w:pPr>
      <w:r>
        <w:rPr>
          <w:rFonts w:ascii="Times New Roman;serif" w:hAnsi="Times New Roman;serif" w:eastAsia="Times New Roman" w:cs="Times New Roman"/>
          <w:sz w:val="24"/>
          <w:szCs w:val="24"/>
          <w:lang w:eastAsia="ru-RU"/>
        </w:rPr>
        <w:t xml:space="preserve">Территория Чулымского</w:t>
      </w:r>
      <w:r>
        <w:rPr>
          <w:rFonts w:ascii="Times New Roman;serif" w:hAnsi="Times New Roman;serif" w:eastAsia="Times New Roman" w:cs="Times New Roman"/>
          <w:sz w:val="24"/>
          <w:szCs w:val="24"/>
          <w:lang w:eastAsia="ru-RU"/>
        </w:rPr>
        <w:t xml:space="preserve"> лесничества характеризуется средним </w:t>
      </w:r>
      <w:r>
        <w:rPr>
          <w:rFonts w:ascii="Times New Roman;serif" w:hAnsi="Times New Roman;serif" w:eastAsia="Times New Roman" w:cs="Times New Roman"/>
          <w:sz w:val="24"/>
          <w:szCs w:val="24"/>
          <w:lang w:eastAsia="ru-RU"/>
        </w:rPr>
        <w:t xml:space="preserve">классом пожарной опасности 3</w:t>
      </w:r>
      <w:r>
        <w:rPr>
          <w:rFonts w:ascii="Times New Roman;serif" w:hAnsi="Times New Roman;serif" w:eastAsia="Times New Roman" w:cs="Times New Roman"/>
          <w:sz w:val="24"/>
          <w:szCs w:val="24"/>
          <w:lang w:eastAsia="ru-RU"/>
        </w:rPr>
        <w:t xml:space="preserve">,2.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Основные цели системы охраны лесов от пожаров – сбережение лесных ресурсов, сокращение всех видов прямого и косвенного ущерба и создание условий для устойчивого развития лесной экосистемы.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Существующее разделение лесов лесничества на зоны применения назе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мных сил и средств,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авиационных, наземных сил и средств (НСС)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авиационных сил и средств (АСС) уточнено с учётом существующей дорожной сети.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Разделение территории лесничества на зоны применения НСС и АСС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635"/>
        <w:tblW w:w="9510" w:type="dxa"/>
        <w:tblLook w:val="04A0" w:firstRow="1" w:lastRow="0" w:firstColumn="1" w:lastColumn="0" w:noHBand="0" w:noVBand="1"/>
      </w:tblPr>
      <w:tblGrid>
        <w:gridCol w:w="1983"/>
        <w:gridCol w:w="1773"/>
        <w:gridCol w:w="4634"/>
        <w:gridCol w:w="1120"/>
      </w:tblGrid>
      <w:tr>
        <w:tblPrEx/>
        <w:trPr/>
        <w:tc>
          <w:tcPr>
            <w:tcBorders>
              <w:bottom w:val="single" w:color="auto" w:sz="4" w:space="0"/>
            </w:tcBorders>
            <w:tcW w:w="19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пожарных служб и их место-нахождение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extDirection w:val="lrTb"/>
            <w:noWrap w:val="false"/>
          </w:tcPr>
          <w:p>
            <w:pPr>
              <w:ind w:left="-38" w:right="-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Наименова-ние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участковых лесничеств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Номера кварталов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ind w:left="-24" w:right="-61" w:hanging="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bottom w:val="single" w:color="auto" w:sz="4" w:space="0"/>
            </w:tcBorders>
            <w:tcW w:w="1991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Зона примене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наземных сил и средств</w:t>
            </w:r>
            <w:r/>
          </w:p>
          <w:p>
            <w:r/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Зона применения авиационных, наземных сил и средств (НСС)</w:t>
            </w:r>
            <w:r/>
          </w:p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right="-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Чулымский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ind w:right="-3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15-190,192-446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58566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right="-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Ужанихинский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44899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right="-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103465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right="-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Каргатский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62-73,85-96,106-119,129-137,142-144,148-165,169-279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155286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right="-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Чулымский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left="-38" w:right="-8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ind w:left="-66" w:right="-94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156374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single" w:color="auto" w:sz="4" w:space="0"/>
            </w:tcBorders>
            <w:tcW w:w="1991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Зона применения авиационных сил и средств (АСС)</w:t>
            </w:r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left="-38" w:right="-80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Верх-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Каргатский</w:t>
            </w:r>
            <w:r/>
          </w:p>
        </w:tc>
        <w:tc>
          <w:tcPr>
            <w:tcW w:w="474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1-61,74-84,97-105,120-128,138-141,145-147,166-168,</w:t>
            </w:r>
            <w:r/>
          </w:p>
        </w:tc>
        <w:tc>
          <w:tcPr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85190</w:t>
            </w:r>
            <w:r/>
          </w:p>
        </w:tc>
      </w:tr>
      <w:tr>
        <w:tblPrEx/>
        <w:trPr>
          <w:trHeight w:val="331"/>
        </w:trPr>
        <w:tc>
          <w:tcPr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left="-38" w:right="-8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ind w:left="-66" w:right="-94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85190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4"/>
        </w:trPr>
        <w:tc>
          <w:tcPr>
            <w:tcW w:w="19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8" w:type="dxa"/>
            <w:textDirection w:val="lrTb"/>
            <w:noWrap w:val="false"/>
          </w:tcPr>
          <w:p>
            <w:pPr>
              <w:ind w:left="-38" w:right="-8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345029</w:t>
            </w:r>
            <w:r>
              <w:rPr>
                <w:b/>
                <w:bCs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0"/>
        <w:jc w:val="both"/>
        <w:spacing w:after="0" w:line="21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0"/>
        <w:jc w:val="both"/>
        <w:spacing w:after="0" w:line="21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зоне наземной охр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аны необходимо интенсифицировать всю систему противопожарных мероприятий. В зоне авиационной охраны лесов необходимо проводить мероприятия по развитию и усилению авиационных сил и средств борьбы с лесными пожарами и обеспечению наиболее успешной их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0"/>
        <w:jc w:val="both"/>
        <w:spacing w:after="0" w:line="21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Вероятность возникновения и распространения лесного пожара, а также его интенсивность определяется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условиями погоды. Пожароопасный сезон начинается с середины апреля по середину октября. Виды лесных пожаров как правило низовые различной интенсивности. Основные причины возникновения лесных пожаров – переход с иных категорий и по вине местного населения.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0"/>
        <w:jc w:val="both"/>
        <w:spacing w:after="0" w:line="216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прошедшие пять лет количество возникших лесных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пожаров составляет: 2019 год-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., 2020 год – 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шт., 2021 год-12 шт.,2022 год-28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шт.,2023 год-31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шт.  Площадь погибших насаждений в результа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 лесных пожаров составляет - 0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га.</w:t>
      </w:r>
      <w:r/>
    </w:p>
    <w:p>
      <w:pPr>
        <w:ind w:firstLine="560"/>
        <w:jc w:val="both"/>
        <w:spacing w:after="0" w:line="21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ерритории Чулымского </w:t>
      </w:r>
      <w:r>
        <w:rPr>
          <w:rFonts w:ascii="Times New Roman" w:hAnsi="Times New Roman" w:cs="Times New Roman"/>
          <w:sz w:val="24"/>
          <w:szCs w:val="24"/>
        </w:rPr>
        <w:t xml:space="preserve">лесничества </w:t>
      </w:r>
      <w:r>
        <w:rPr>
          <w:rFonts w:ascii="Times New Roman" w:hAnsi="Times New Roman" w:cs="Times New Roman"/>
          <w:sz w:val="24"/>
          <w:szCs w:val="24"/>
        </w:rPr>
        <w:t xml:space="preserve">переданы </w:t>
      </w:r>
      <w:r>
        <w:rPr>
          <w:rFonts w:ascii="Times New Roman" w:hAnsi="Times New Roman" w:cs="Times New Roman"/>
          <w:sz w:val="24"/>
          <w:szCs w:val="24"/>
        </w:rPr>
        <w:t xml:space="preserve">лесные участки площа</w:t>
      </w:r>
      <w:r>
        <w:rPr>
          <w:rFonts w:ascii="Times New Roman" w:hAnsi="Times New Roman" w:cs="Times New Roman"/>
          <w:sz w:val="24"/>
          <w:szCs w:val="24"/>
        </w:rPr>
        <w:t xml:space="preserve">дью - 345029 га. </w:t>
      </w:r>
      <w:r>
        <w:rPr>
          <w:rFonts w:ascii="Times New Roman" w:hAnsi="Times New Roman" w:cs="Times New Roman"/>
          <w:sz w:val="24"/>
          <w:szCs w:val="24"/>
        </w:rPr>
        <w:t xml:space="preserve"> ГАУ НСО «</w:t>
      </w:r>
      <w:r>
        <w:rPr>
          <w:rFonts w:ascii="Times New Roman" w:hAnsi="Times New Roman" w:cs="Times New Roman"/>
          <w:sz w:val="24"/>
          <w:szCs w:val="24"/>
        </w:rPr>
        <w:t xml:space="preserve">Чулымский</w:t>
      </w:r>
      <w:r>
        <w:rPr>
          <w:rFonts w:ascii="Times New Roman" w:hAnsi="Times New Roman" w:cs="Times New Roman"/>
          <w:sz w:val="24"/>
          <w:szCs w:val="24"/>
        </w:rPr>
        <w:t xml:space="preserve"> лесхоз»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заданию </w:t>
      </w:r>
      <w:r>
        <w:rPr>
          <w:rFonts w:ascii="Times New Roman" w:hAnsi="Times New Roman" w:cs="Times New Roman"/>
          <w:sz w:val="24"/>
          <w:szCs w:val="24"/>
        </w:rPr>
        <w:t xml:space="preserve">на них производят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заготов</w:t>
      </w:r>
      <w:r>
        <w:rPr>
          <w:rFonts w:ascii="Times New Roman" w:hAnsi="Times New Roman" w:cs="Times New Roman"/>
          <w:sz w:val="24"/>
          <w:szCs w:val="24"/>
        </w:rPr>
        <w:t xml:space="preserve">ку</w:t>
      </w:r>
      <w:r>
        <w:rPr>
          <w:rFonts w:ascii="Times New Roman" w:hAnsi="Times New Roman" w:cs="Times New Roman"/>
          <w:sz w:val="24"/>
          <w:szCs w:val="24"/>
        </w:rPr>
        <w:t xml:space="preserve"> древе</w:t>
      </w:r>
      <w:r>
        <w:rPr>
          <w:rFonts w:ascii="Times New Roman" w:hAnsi="Times New Roman" w:cs="Times New Roman"/>
          <w:sz w:val="24"/>
          <w:szCs w:val="24"/>
        </w:rPr>
        <w:t xml:space="preserve">сины,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профилактические противопожарные м</w:t>
      </w:r>
      <w:r>
        <w:rPr>
          <w:rFonts w:ascii="Times New Roman" w:hAnsi="Times New Roman" w:cs="Times New Roman"/>
          <w:sz w:val="24"/>
          <w:szCs w:val="24"/>
        </w:rPr>
        <w:t xml:space="preserve">ероприятия и по государственному контракту тушат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жары</w:t>
      </w:r>
      <w:r>
        <w:rPr>
          <w:rFonts w:ascii="Times New Roman" w:hAnsi="Times New Roman" w:cs="Times New Roman"/>
          <w:sz w:val="24"/>
          <w:szCs w:val="24"/>
        </w:rPr>
        <w:t xml:space="preserve">, воз</w:t>
      </w:r>
      <w:r>
        <w:rPr>
          <w:rFonts w:ascii="Times New Roman" w:hAnsi="Times New Roman" w:cs="Times New Roman"/>
          <w:sz w:val="24"/>
          <w:szCs w:val="24"/>
        </w:rPr>
        <w:t xml:space="preserve">никающих на </w:t>
      </w:r>
      <w:r>
        <w:rPr>
          <w:rFonts w:ascii="Times New Roman" w:hAnsi="Times New Roman" w:cs="Times New Roman"/>
          <w:sz w:val="24"/>
          <w:szCs w:val="24"/>
        </w:rPr>
        <w:t xml:space="preserve">лесных у</w:t>
      </w:r>
      <w:r>
        <w:rPr>
          <w:rFonts w:ascii="Times New Roman" w:hAnsi="Times New Roman" w:cs="Times New Roman"/>
          <w:sz w:val="24"/>
          <w:szCs w:val="24"/>
        </w:rPr>
        <w:t xml:space="preserve">частках.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1.3. Противопожарное обустройство лесов ежегодно производится в соответствии с планами МПР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НСО, регламентом лесничества.</w:t>
      </w:r>
      <w:r/>
    </w:p>
    <w:p>
      <w:pPr>
        <w:pStyle w:val="63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Проектируемые меры противопожарного обустройства лесов с учетом затрат на их выполнение</w:t>
      </w:r>
      <w:r/>
    </w:p>
    <w:p>
      <w:pPr>
        <w:pStyle w:val="63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Создание, содержание и эксплуатация лесных дорог, предназначенных для охраны лесов от пожаров: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96" w:type="dxa"/>
        <w:tblInd w:w="-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042"/>
        <w:gridCol w:w="1066"/>
        <w:gridCol w:w="798"/>
        <w:gridCol w:w="456"/>
        <w:gridCol w:w="962"/>
        <w:gridCol w:w="456"/>
        <w:gridCol w:w="962"/>
        <w:gridCol w:w="456"/>
        <w:gridCol w:w="962"/>
        <w:gridCol w:w="456"/>
        <w:gridCol w:w="714"/>
        <w:gridCol w:w="704"/>
        <w:gridCol w:w="962"/>
      </w:tblGrid>
      <w:tr>
        <w:tblPrEx/>
        <w:trPr>
          <w:trHeight w:val="44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4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6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9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4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3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/>
      </w:pPr>
      <w:r>
        <w:rPr>
          <w:rFonts w:ascii="Times New Roman" w:hAnsi="Times New Roman" w:cs="Times New Roman"/>
          <w:sz w:val="24"/>
          <w:szCs w:val="24"/>
        </w:rPr>
        <w:t xml:space="preserve">2.2.  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</w:t>
      </w:r>
      <w:r>
        <w:rPr>
          <w:rFonts w:ascii="Times New Roman" w:hAnsi="Times New Roman" w:cs="Times New Roman"/>
          <w:sz w:val="24"/>
          <w:szCs w:val="24"/>
        </w:rPr>
        <w:t xml:space="preserve">ожаров на территории Чулымского</w:t>
      </w:r>
      <w:r>
        <w:rPr>
          <w:rFonts w:ascii="Times New Roman" w:hAnsi="Times New Roman" w:cs="Times New Roman"/>
          <w:sz w:val="24"/>
          <w:szCs w:val="24"/>
        </w:rPr>
        <w:t xml:space="preserve"> лесничества не предусмотрено. 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Прокладка просек, противопожарных разрывов, устройство противопожарных минерализованных полос: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811" w:type="dxa"/>
        <w:tblInd w:w="-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430"/>
        <w:gridCol w:w="1010"/>
        <w:gridCol w:w="709"/>
        <w:gridCol w:w="425"/>
        <w:gridCol w:w="851"/>
        <w:gridCol w:w="425"/>
        <w:gridCol w:w="850"/>
        <w:gridCol w:w="426"/>
        <w:gridCol w:w="992"/>
        <w:gridCol w:w="425"/>
        <w:gridCol w:w="992"/>
        <w:gridCol w:w="426"/>
        <w:gridCol w:w="850"/>
      </w:tblGrid>
      <w:tr>
        <w:tblPrEx/>
        <w:trPr>
          <w:trHeight w:val="677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просек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Противопожар-ных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разрывов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противопожар-ных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минерализованных полос.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70" w:type="dxa"/>
        <w:tblInd w:w="-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067"/>
        <w:gridCol w:w="1029"/>
        <w:gridCol w:w="818"/>
        <w:gridCol w:w="465"/>
        <w:gridCol w:w="914"/>
        <w:gridCol w:w="464"/>
        <w:gridCol w:w="914"/>
        <w:gridCol w:w="464"/>
        <w:gridCol w:w="914"/>
        <w:gridCol w:w="464"/>
        <w:gridCol w:w="914"/>
        <w:gridCol w:w="464"/>
        <w:gridCol w:w="914"/>
      </w:tblGrid>
      <w:tr>
        <w:tblPrEx/>
        <w:trPr>
          <w:trHeight w:val="44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8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01" w:type="dxa"/>
            <w:vMerge w:val="restart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84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9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3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3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84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9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3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3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84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9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4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83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1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23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3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24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Устройство пожарных водоемов и подъездов к источникам противопожарного водоснабжения 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работ по гидромелиорации земель 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Снижение природной пожарной опасности лесов путем регулирования породного состава лесных насаждений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>
        <w:rPr>
          <w:color w:val="000000"/>
        </w:rPr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2.8.</w:t>
      </w:r>
      <w:r>
        <w:rPr>
          <w:sz w:val="24"/>
          <w:szCs w:val="24"/>
        </w:rPr>
        <w:t xml:space="preserve"> </w:t>
      </w:r>
      <w:bookmarkStart w:id="3" w:name="__DdeLink__3682_306998268"/>
      <w:r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контролируемых противопожарных выжиганий хвороста, лесной подстилки, сухой травы и других лесных горючих материалов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включая информацию об их территориальном размещении, площадных объемах, а также о мероприятиях по обеспечению безопасности выжиганий.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text" w:tblpXSpec="left" w:vertAnchor="text" w:tblpY="1" w:leftFromText="180" w:topFromText="0" w:rightFromText="180" w:bottomFromText="0"/>
        <w:tblW w:w="949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992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851"/>
      </w:tblGrid>
      <w:tr>
        <w:tblPrEx/>
        <w:trPr>
          <w:trHeight w:val="43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контролируемых противопожарных выжиганий хвороста, лесной подстилки, сухой травы и других лесных горючих материалов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39700,00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Прочистка просек, прочистка противопожарных минерализованных полос и их обновление: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811" w:type="dxa"/>
        <w:tblInd w:w="-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430"/>
        <w:gridCol w:w="1010"/>
        <w:gridCol w:w="709"/>
        <w:gridCol w:w="425"/>
        <w:gridCol w:w="992"/>
        <w:gridCol w:w="426"/>
        <w:gridCol w:w="850"/>
        <w:gridCol w:w="425"/>
        <w:gridCol w:w="851"/>
        <w:gridCol w:w="425"/>
        <w:gridCol w:w="992"/>
        <w:gridCol w:w="426"/>
        <w:gridCol w:w="850"/>
      </w:tblGrid>
      <w:tr>
        <w:tblPrEx/>
        <w:trPr>
          <w:trHeight w:val="44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/>
          </w:p>
        </w:tc>
      </w:tr>
      <w:tr>
        <w:tblPrEx/>
        <w:trPr>
          <w:trHeight w:val="29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Прочистка просек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5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0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224500,00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before="24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Эксплуатация пожарных водоемов и подъездов к источникам водоснабжения</w:t>
      </w:r>
      <w:r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/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Благоустройство зон отдыха граждан, пребывающих в лесах в соответствии со статьей 11 Лесного кодекса Российской Федерации:</w:t>
      </w:r>
      <w:r>
        <w:rPr>
          <w:rFonts w:ascii="Times New Roman" w:hAnsi="Times New Roman" w:cs="Times New Roman"/>
          <w:sz w:val="28"/>
          <w:szCs w:val="24"/>
        </w:rPr>
      </w:r>
    </w:p>
    <w:tbl>
      <w:tblPr>
        <w:tblW w:w="9811" w:type="dxa"/>
        <w:tblInd w:w="-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430"/>
        <w:gridCol w:w="727"/>
        <w:gridCol w:w="708"/>
        <w:gridCol w:w="426"/>
        <w:gridCol w:w="708"/>
        <w:gridCol w:w="426"/>
        <w:gridCol w:w="708"/>
        <w:gridCol w:w="567"/>
        <w:gridCol w:w="851"/>
        <w:gridCol w:w="709"/>
        <w:gridCol w:w="850"/>
        <w:gridCol w:w="709"/>
        <w:gridCol w:w="992"/>
      </w:tblGrid>
      <w:tr>
        <w:tblPrEx/>
        <w:trPr>
          <w:trHeight w:val="44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2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26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before="24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27" w:type="dxa"/>
            <w:textDirection w:val="lrTb"/>
            <w:noWrap w:val="false"/>
          </w:tcPr>
          <w:p>
            <w:pPr>
              <w:jc w:val="both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зон отдыха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before="24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70600,00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before="24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before="240"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before="240"/>
      </w:pPr>
      <w:r>
        <w:rPr>
          <w:rFonts w:ascii="Times New Roman" w:hAnsi="Times New Roman" w:cs="Times New Roman"/>
          <w:sz w:val="24"/>
          <w:szCs w:val="24"/>
        </w:rPr>
        <w:t xml:space="preserve">2.12. 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/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2.13.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и содержание противопожарных заслонов и устройство лиственных опушек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Лесным планом Новосибирской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бласти на территории Чулымского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лесничества не предусмотрено.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Установка и размещение стендов и других знаков и указателей, содержащих информацию о мерах пожарной безопасности в лесах: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81" w:type="dxa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430"/>
        <w:gridCol w:w="838"/>
        <w:gridCol w:w="709"/>
        <w:gridCol w:w="425"/>
        <w:gridCol w:w="851"/>
        <w:gridCol w:w="425"/>
        <w:gridCol w:w="851"/>
        <w:gridCol w:w="425"/>
        <w:gridCol w:w="709"/>
        <w:gridCol w:w="425"/>
        <w:gridCol w:w="992"/>
        <w:gridCol w:w="709"/>
        <w:gridCol w:w="992"/>
      </w:tblGrid>
      <w:tr>
        <w:tblPrEx/>
        <w:trPr>
          <w:trHeight w:val="44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Наименование лесничества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3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затраты на выполнение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</w:tr>
      <w:tr>
        <w:tblPrEx/>
        <w:trPr>
          <w:trHeight w:val="25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430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3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Установка и размещение стендов и других знаков и указателей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207588,00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207588,00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207588,00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207588,00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207588,00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276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2.15. Объем и по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объектное распределение проектируемых мер в разрезе лесничеств</w:t>
      </w:r>
      <w:r>
        <w:rPr>
          <w:rFonts w:ascii="Times New Roman" w:hAnsi="Times New Roman" w:cs="Times New Roman"/>
          <w:sz w:val="28"/>
          <w:szCs w:val="24"/>
        </w:rPr>
        <w:t xml:space="preserve">а</w:t>
      </w:r>
      <w:r>
        <w:rPr>
          <w:rFonts w:ascii="Times New Roman" w:hAnsi="Times New Roman" w:cs="Times New Roman"/>
          <w:sz w:val="28"/>
          <w:szCs w:val="24"/>
        </w:rPr>
        <w:t xml:space="preserve"> с указанием квартала, выдела:</w:t>
      </w:r>
      <w:r>
        <w:rPr>
          <w:rFonts w:ascii="Times New Roman" w:hAnsi="Times New Roman" w:cs="Times New Roman"/>
          <w:sz w:val="28"/>
          <w:szCs w:val="24"/>
        </w:rPr>
      </w:r>
    </w:p>
    <w:tbl>
      <w:tblPr>
        <w:tblW w:w="15771" w:type="dxa"/>
        <w:tblInd w:w="-46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993"/>
        <w:gridCol w:w="520"/>
        <w:gridCol w:w="1259"/>
        <w:gridCol w:w="6903"/>
        <w:gridCol w:w="645"/>
        <w:gridCol w:w="851"/>
        <w:gridCol w:w="914"/>
        <w:gridCol w:w="1134"/>
        <w:gridCol w:w="1276"/>
        <w:gridCol w:w="1276"/>
      </w:tblGrid>
      <w:tr>
        <w:tblPrEx/>
        <w:trPr>
          <w:cantSplit/>
          <w:trHeight w:val="2752" w:hRule="exact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Наименование лесничества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проектируемых мер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Участковое лесничество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Квартал/Выдел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Создание, содержание и эксплуатация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Прокладка просек, противопожарных разрывов, устройство противопожарных минерализованных полос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Прочистка просек, 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Благоустройство зон отдыха граждан, пребывающих в лесах в соответствии со статьей 11 Лесного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проведение профилактич</w:t>
            </w:r>
            <w:r>
              <w:rPr>
                <w:rFonts w:cs="Calibri"/>
                <w:bCs/>
                <w:color w:val="000000"/>
              </w:rPr>
              <w:t xml:space="preserve">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выжиганий)</w:t>
            </w:r>
            <w:r>
              <w:rPr>
                <w:rFonts w:cs="Calibri"/>
                <w:bCs/>
                <w:color w:val="000000"/>
              </w:rPr>
            </w:r>
          </w:p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2.14. Установка и размещение стендов и других знаков и указателей, содержащих информацию о мерах пожарной безопасности в лесах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кв.65 выд.34; кв.66 выд.34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кв.9 выд.8,10,37,35;кв.10 выд.9,8,20,42,29,38,36;кв.11 выд.17,18,38,33,51,53; кв.12 выд.42,31,22,23,25,16,17;кв.22 выд.11,19;кв.29 выд.33,9,13;кв.18 выд.14,11,10,6,7;кв.33 выд.10;кв.40 выд.13,2;кв.32 выд.7,10;кв.28 выд.14,5,11,16;кв.27 </w:t>
            </w:r>
            <w:r>
              <w:rPr>
                <w:rFonts w:cs="Calibri"/>
                <w:color w:val="000000"/>
              </w:rPr>
              <w:t xml:space="preserve">выд.15,20,12,14,19; кв.1 выд.59,71,73,76,65,64,81,82,67,68,54,62,87,86,88,91,93,97,111,101,98,97,104,120,133,117; кв.2 выд.15,14,17,11,3,24,13,12,23,25,28,41,36,35,40,55,61; кв.121 выд.12,19,3,1; кв.98 выд.27,13,6; кв.99 выд.1,2,3; кв.79 выд.23,12,16,7,2,8</w:t>
            </w:r>
            <w:r>
              <w:rPr>
                <w:rFonts w:cs="Calibri"/>
                <w:color w:val="000000"/>
              </w:rPr>
              <w:t xml:space="preserve">,3,1; кв.64 выд.19,20,22,4,3,6; кв.66 выд.3,4,6,7,8; кв.52 выд.45,46,38,35,42,11,14; кв.415 выд.3,4,5,2,1; кв.396 выд.2,3,6; кв.381 выд.2,8,13; кв.382 выд.2,1; кв.383 выд.1; кв.416 выд.32,33,31,23,27; кв.438 выд.8,25,24,35,45,44,42,43; кв.392 выд.1,2,3,6; </w:t>
            </w:r>
            <w:r>
              <w:rPr>
                <w:rFonts w:cs="Calibri"/>
                <w:color w:val="000000"/>
              </w:rPr>
              <w:t xml:space="preserve">кв.389 выд.12,13,2,7,33,29,31,30; кв.379 выд.7,2; кв.330 выд.22,16,18; кв.401 в19,10; кв.399 выд.35,34,20; кв.402 выд.8,10; кв.404 выд.9; кв.401 выд.56,13,14,12,11,10,15,20,1,4; кв.386 выд.18,10,11,12,5,3; кв.387 выд.10,4,12,7,13; кв.388 выд.6,9,7; кв.303 </w:t>
            </w:r>
            <w:r>
              <w:rPr>
                <w:rFonts w:cs="Calibri"/>
                <w:color w:val="000000"/>
              </w:rPr>
              <w:t xml:space="preserve">выд.21,12,14,20,19; кв.328 выд.2,3,1; кв.334 выд.3,2; кв.304 выд.5; кв.300 выд.23; кв.269 выд.38,34,18,24,25; кв.250 выд.17,26,29;</w:t>
            </w:r>
            <w:r>
              <w:rPr>
                <w:rFonts w:cs="Calibri"/>
                <w:color w:val="000000"/>
              </w:rPr>
              <w:t xml:space="preserve"> кв.249 выд.29; кв.362 выд.8; кв.337 выд.15; кв.412 выд.5,8; кв.395 выд.32; кв.410 выд.12,17,16; кв.411 выд.1,9,8; кв.117 выд.82; кв.138 выд.1,2; кв.284 выд.18,2,14,1; кв.287 выд.20,8,9,31; кв. 74 выд.237,236,238,235,242,211,209,207,206,204; кв.183 выд.13;</w:t>
            </w:r>
            <w:r>
              <w:rPr>
                <w:rFonts w:cs="Calibri"/>
                <w:color w:val="000000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171,90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0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кв.56 выд.40;кв.62 выд.11;кв.61 выд.17,18;кв.67 выд.34,4,31,26,20;кв. 74 выд.20,2;кв.39 выд.13; кв.40 выд.19,7;кв.41 выд.30,23,29; кв.54 выд.3,1,4,11;кв.46 выд.18,14,9,10;кв.73 выд.10,23,14; кв.72 выд.23,5,30;кв.66 выд.14,24,22,23,19;кв.65 выд.28,25,</w:t>
            </w:r>
            <w:r>
              <w:rPr>
                <w:rFonts w:cs="Calibri"/>
                <w:color w:val="000000"/>
              </w:rPr>
              <w:t xml:space="preserve">22,10,3;кв.58 выд.7,13;кв.57 выд.10;кв.71 выд.18,12,6;кв.64 выд.21;кв.63 выд.37,15,5,4;кв.46 выд.23,22;кв.42выд.7,16;кв.43 выд.18,19,9,26;кв.44 выд.10,12,1;кв.45 выд.21,19,22,20,11,28;кв.49 выд.9,27,15,34;кв.50 выд.2,40,34;кв.51 выд.10,13,8,12;кв.52 выд.2;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28,11</w:t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Чулымский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выд.44; кв.49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</w:t>
            </w:r>
            <w:r>
              <w:rPr>
                <w:rFonts w:cs="Calibri"/>
                <w:color w:val="000000"/>
              </w:rPr>
              <w:t xml:space="preserve">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 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Чулымский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лху</w:t>
            </w:r>
            <w:r>
              <w:rPr>
                <w:rFonts w:cs="Calibri"/>
                <w:color w:val="000000"/>
              </w:rPr>
              <w:t xml:space="preserve"> -кв. 37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 кв. 38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1; 13.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150,0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кв.74 </w:t>
            </w:r>
            <w:r>
              <w:rPr>
                <w:rFonts w:cs="Calibri"/>
                <w:color w:val="000000"/>
              </w:rPr>
              <w:t xml:space="preserve">выд.229,221,228,220,199,175,198,208,181,184,184,186,187,188,212,189,150,105,104</w:t>
            </w:r>
            <w:r>
              <w:rPr>
                <w:rFonts w:cs="Calibri"/>
                <w:color w:val="000000"/>
              </w:rPr>
              <w:t xml:space="preserve">,64,61,106,67,63,62,40,69,111,72,7</w:t>
            </w:r>
            <w:r>
              <w:rPr>
                <w:rFonts w:cs="Calibri"/>
                <w:color w:val="000000"/>
              </w:rPr>
              <w:t xml:space="preserve">7,44; кв.43 выд.240,102,101,104,84,80,82,70,77; кв.56 выд.10,9,84,85,48,49,50,51,186,182,188,193,169; кв.72 выд.34,33,36,37,60,59,63,66,62,2,1,11; кв.81 выд.32,29,30,26,15,11; кв.82 выд.17; кв.99 выд.19,18,13,4,5,22,21,17,14,9,10,12; кв.98 выд.25,24,26,28;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85,0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кв.336 выд.15,16; кв.365 выд.32,35,30,24; кв.352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52,13,14; кв.331 выд.1,24,28; кв.274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4,5,1,2; кв.156 выд.2,4,6,11,8; кв.156 выд.2,4,6,11; кв.155 выд.35,36; кв.42 выд.7,18,23; кв.50 выд.30,39; кв.57 выд.8,15; кв.58 выд.12; кв.65 выд.5,16,11,7; кв.66 выд.9,22,25,31,33; кв.276 выд.16; кв.43 выд.29; кв.50 выд.6; кв.51 выд.10; кв</w:t>
            </w:r>
            <w:r>
              <w:rPr>
                <w:rFonts w:cs="Calibri"/>
                <w:color w:val="000000"/>
              </w:rPr>
              <w:t xml:space="preserve">.236 выд.2; кв.212 выд.14,19,15,20,21,23,40,41,49,48,47,50,52,51,38,57,55,56; кв.276 выд.2,5,7,17,18,19,25; кв.308 выд.7,6,9,18,11,20,19; кв.275 выд.29,26,25,31,20,13,12,10,9,4,2,1,15,19,22,23,28; кв.234 выд.19,37,24,18,17,16,1,2,3,7,9,22,25,27,34; кв.333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2,3,1; кв.309 выд.18,7,6,3,2,1; кв.236 выд.16,15,11,10,8,22,4,1; кв.226 выд.9,38,39,20,8,19,5,3,4,2,12,13,31,32; кв.225 выд.5,4,7,3,10,9,12,29,20; кв.363 выд.12; кв.301 выд.42,38,37,36;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115,0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выд.44; кв.49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</w:t>
            </w:r>
            <w:r>
              <w:rPr>
                <w:rFonts w:cs="Calibri"/>
                <w:color w:val="000000"/>
              </w:rPr>
              <w:t xml:space="preserve">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16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5,8,2; кв. 17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150,0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кв.72 выд.36; кв.73 выд.26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кв.51 выд.43; кв.54 выд.35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кв.234 выд</w:t>
            </w:r>
            <w:r>
              <w:rPr>
                <w:rFonts w:cs="Calibri"/>
                <w:color w:val="000000"/>
              </w:rPr>
              <w:t xml:space="preserve">.35,36,27,28,25; кв.235 выд.20,19,15,13,12; кв.236 выд.32,33,29; кв.292 выд.19,22,21,20; кв.349 выд.12,13,9,8,7; кв.348 выд.25,12; кв.347 выд.16,14,24,27,29,30; кв.325 выд.36,25,26,21; кв.324 выд.41,31,22,40,3; кв.297 выд.1,6,5; кв.92 выд.44,43,42; кв.115 </w:t>
            </w:r>
            <w:r>
              <w:rPr>
                <w:rFonts w:cs="Calibri"/>
                <w:color w:val="000000"/>
              </w:rPr>
              <w:t xml:space="preserve">выд.13,1,3,4,12,13; кв.155 выд.29,24; кв.156 выд.13,1,11,12; кв.119 выд.52,50; кв.159 выд.5,10,16,14,13,15;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77,9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кв.212 выд.23,9,19,15,10,51,36,31,28,35,180,6,60,18,28,17,16,24,30,29; кв.3,5,6,4,12,8,20; кв. 234 выд.3,4</w:t>
            </w:r>
            <w:r>
              <w:rPr>
                <w:rFonts w:cs="Calibri"/>
                <w:color w:val="000000"/>
              </w:rPr>
              <w:t xml:space="preserve">,5,8,7,37,11,12,13,15,24,19,25,32,36; кв.355 выд.24,16,15,8,6,30,25,31; кв.353 выд.1,2,3; кв.301 выд.35,34; кв.299 выд.55,51,46,36,24,52; кв.140 выд.30,31; выд.141 выд.16,19,17,27; кв.163 выд.6,3,5,4,10; кв.130 выд.50,47,46,49,28; кв.129 выд.39,25,17,21,20</w:t>
            </w:r>
            <w:r>
              <w:rPr>
                <w:rFonts w:cs="Calibri"/>
                <w:color w:val="000000"/>
              </w:rPr>
              <w:t xml:space="preserve">,11; кв.146 выд.9,7,3,10,20; кв.119 выд.7,5,4,3; кв.133 выд.14; кв.106 выд.1,9,13,14,17,18,20; кв.115 выд.4,13,6,8; кв.114 выд.5,6,2,1,10; кв.96 выд.21,22,14,20; кв.76 выд.10,24; кв.138 выд.1,10,9,13,12; кв.159 выд.14,25; кв.137 выд.20,14; кв.160 выд.59,5;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122,1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</w:t>
            </w:r>
            <w:r>
              <w:rPr>
                <w:rFonts w:cs="Calibri"/>
                <w:color w:val="000000"/>
              </w:rPr>
              <w:t xml:space="preserve">выд.44;;</w:t>
            </w:r>
            <w:r>
              <w:rPr>
                <w:rFonts w:cs="Calibri"/>
                <w:color w:val="000000"/>
              </w:rPr>
              <w:t xml:space="preserve"> кв.49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</w:t>
            </w:r>
            <w:r>
              <w:rPr>
                <w:rFonts w:cs="Calibri"/>
                <w:color w:val="000000"/>
              </w:rPr>
              <w:t xml:space="preserve">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1; кв. 23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1; кв. 24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1,8,4,2,6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150,0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>
              <w:t xml:space="preserve">2027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кв.18 выд.16; кв.22выд. 25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Верх-</w:t>
            </w:r>
            <w:r>
              <w:t xml:space="preserve">Каргатский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кв.245 выд.7; кв.43 выд.41,21,22,18,6,2,3,4,12,11,23,24,30,28,36,25,60,59,58,53,51; кв.13 выд.14,15; кв.301 выд.6,8,17,5,1,2,3; кв.22 выд.11; кв.147 выд.9,27; кв.74 выд.1,2,3,9,8,7,6,5,4,15,</w:t>
            </w:r>
            <w:r>
              <w:rPr>
                <w:rFonts w:cs="Calibri"/>
                <w:color w:val="000000"/>
              </w:rPr>
              <w:t xml:space="preserve">14,13,38,34,63,40,39,17,56,98,103,144,143,145; кв.139 выд.1,7,10,5,16,25,29; кв.153 выд.28; кв.152 выд.19,17; кв.180 выд.15,17,18,16; кв.177 выд.2,3,7,5,6,13; кв.176 выд.27,26,1,8,7,21; кв.175 выд.5,8; кв.140 выд.48,46; кв.158 выд.32,35,28,27,35,40,42,37; </w:t>
            </w:r>
            <w:r>
              <w:rPr>
                <w:rFonts w:cs="Calibri"/>
                <w:color w:val="000000"/>
              </w:rPr>
              <w:t xml:space="preserve">кв.160 выд.13,15,33,32,40; кв.195 выд.8,60,32,29,17,36; кв.193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35,34,47,49,40; кв.200 выд.1,2,</w:t>
            </w:r>
            <w:r>
              <w:rPr>
                <w:rFonts w:cs="Calibri"/>
                <w:color w:val="000000"/>
              </w:rPr>
              <w:t xml:space="preserve">15,11,;</w:t>
            </w:r>
            <w:r>
              <w:rPr>
                <w:rFonts w:cs="Calibri"/>
                <w:color w:val="000000"/>
              </w:rPr>
              <w:t xml:space="preserve"> кв.205 в</w:t>
            </w:r>
            <w:r>
              <w:rPr>
                <w:rFonts w:cs="Calibri"/>
                <w:color w:val="000000"/>
              </w:rPr>
              <w:t xml:space="preserve">ыд.1,2,3,22,13,12,31,32; кв.230 выд.6,5,10,23; кв.204 выд.4; кв.260 выд.16,2,3,5; кв.296 выд.23,18,24,15,11; кв.285 выд.1,2,4,6,10; кв.291 выд.7,2,4,24,6; кв.290 выд.21,19,20,9; кв.317 выд.2,19,16,18; кв.288 выд.25,21,17,13,7; кв.223 выд.33,36,35,25,16,18;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144,75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Верх-</w:t>
            </w:r>
            <w:r>
              <w:t xml:space="preserve">Каргатский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кв..250 выд.29,28,23,21,20,38,58,56,59; кв.251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135,127,122,118,102,120; кв.262 выд.21,29,42,64; кв.264 выд.48,62,50; кв.276 выд.1,2,3; кв.274 </w:t>
            </w:r>
            <w:r>
              <w:rPr>
                <w:rFonts w:cs="Calibri"/>
                <w:color w:val="000000"/>
              </w:rPr>
              <w:t xml:space="preserve">выд.119,118,131,116</w:t>
            </w:r>
            <w:r>
              <w:rPr>
                <w:rFonts w:cs="Calibri"/>
                <w:color w:val="000000"/>
              </w:rPr>
              <w:t xml:space="preserve">; кв.273 выд.112,111,125,110,180,160,178,109,137,151,150;кв.121 выд.12,19,3,1; кв.98 </w:t>
            </w:r>
            <w:r>
              <w:rPr>
                <w:rFonts w:cs="Calibri"/>
                <w:color w:val="000000"/>
              </w:rPr>
              <w:t xml:space="preserve">выд.27,13,6; кв.99 выд.1,2,3; кв.79 выд.23,12,16,7,2,8,3,1; кв.64 выд.19,20,22,4,3,6; кв.66 выд.3,4,6,7,8; кв.415 выд.3,4,5,2,1; кв.396 выд.2,3,6; кв.381 выд.2,8,13; кв.382 выд.2,1; кв.383 выд.1; кв.416 выд.32,33,31,23,27; кв.43 выд.8,25,24,35,45,44,42,43;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55,25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выд.</w:t>
            </w:r>
            <w:r>
              <w:rPr>
                <w:rFonts w:cs="Calibri"/>
                <w:color w:val="000000"/>
              </w:rPr>
              <w:t xml:space="preserve">44;  кв.</w:t>
            </w:r>
            <w:r>
              <w:rPr>
                <w:rFonts w:cs="Calibri"/>
                <w:color w:val="000000"/>
              </w:rPr>
              <w:t xml:space="preserve">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</w:t>
            </w:r>
            <w:r>
              <w:rPr>
                <w:rFonts w:cs="Calibri"/>
                <w:color w:val="000000"/>
              </w:rPr>
              <w:t xml:space="preserve">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13,1; кв. 26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3; кв.32 выд.5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150,0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>
              <w:t xml:space="preserve">Чулымское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>
              <w:t xml:space="preserve">2028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кв.33 выд.16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кв.303 выд.21,12,14,20,19; кв.328 выд.2,3,1; кв.334 выд.3,2; кв.304 выд.5; кв.300 выд.23; кв.269 выд.38,34,18,24,25; кв.250 выд.1</w:t>
            </w:r>
            <w:r>
              <w:rPr>
                <w:rFonts w:cs="Calibri"/>
                <w:color w:val="000000"/>
              </w:rPr>
              <w:t xml:space="preserve">7,26,29; кв.249 выд.29; кв.362 выд.8; кв.337 выд.15; кв.412 выд.5,8; кв.410 выд.12,17,16; кв.56 выд.10,9,84,85,48,49,51,50,182,186,188,193,169; кв.43 выд.240,102,101,104,84,80,82,70,77; кв.99 выд.19,18,13,4,5; кв.431 выд.12,4,3,21,7; кв.433 выд.1,2; кв.74 </w:t>
            </w:r>
            <w:r>
              <w:rPr>
                <w:rFonts w:cs="Calibri"/>
                <w:color w:val="000000"/>
              </w:rPr>
              <w:t xml:space="preserve">выд.44,77,72,111,69,40,62,63,67,106,61,64,104,105,150,189,212,188,187,186,184,181,208,198,175,19</w:t>
            </w:r>
            <w:r>
              <w:rPr>
                <w:rFonts w:cs="Calibri"/>
                <w:color w:val="000000"/>
              </w:rPr>
              <w:t xml:space="preserve">9,220,228,221,229; кв.215 выд.1,13,15,17,18; кв.214 выд.5,1,6,7,13,14,32; кв.213 выд.4,8,2,12,16,25; кв.232 выд.2,5,6; кв.267 выд.31,30,28; кв.266 выд.18,10,17; кв.292 выд.1,2,3; кв.352 выд.11,17,21,19,7; кв.351 выд.20,14,6,16,17,7; кв.379 выд.5,2,7,16,20;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191,0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кв.73 выд.22, кв.66 выд14,24,22,23,19; кв.73 выд.23,14; кв.65 выд.25,22,10,3; кв.71 выд.18,12,6; кв.63 выд.37,15,5,4; кв.43 выд.18,19,9,26; кв.44 выд.10,12,1; кв.50 </w:t>
            </w:r>
            <w:r>
              <w:rPr>
                <w:rFonts w:cs="Calibri"/>
                <w:color w:val="000000"/>
              </w:rPr>
              <w:t xml:space="preserve">выд..</w:t>
            </w:r>
            <w:r>
              <w:rPr>
                <w:rFonts w:cs="Calibri"/>
                <w:color w:val="000000"/>
              </w:rPr>
              <w:t xml:space="preserve">2,40,34; кв.51 выд.10,13,8,12; кв.45 выд.21,19,22,20,11,28; кв.49 выд.9,27,15,34; кв.54 выд.3,1,4,11; кв.71 выд.18,12,6; кв.58 выд.7,13; 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выд.44; кв.49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</w:t>
            </w:r>
            <w:r>
              <w:rPr>
                <w:rFonts w:cs="Calibri"/>
                <w:color w:val="000000"/>
              </w:rPr>
              <w:t xml:space="preserve">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39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8; кв. 32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10; кв.31 выд.7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150,0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Чулымский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</w:t>
            </w:r>
            <w:r/>
          </w:p>
        </w:tc>
      </w:tr>
      <w:tr>
        <w:tblPrEx/>
        <w:trPr>
          <w:trHeight w:val="159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5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Ужанихинский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64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73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14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2.16. Календарный план выполнения мер:</w:t>
      </w:r>
      <w:r>
        <w:rPr>
          <w:rFonts w:ascii="Times New Roman" w:hAnsi="Times New Roman" w:cs="Times New Roman"/>
          <w:sz w:val="28"/>
          <w:szCs w:val="24"/>
        </w:rPr>
      </w:r>
    </w:p>
    <w:tbl>
      <w:tblPr>
        <w:tblW w:w="15345" w:type="dxa"/>
        <w:tblInd w:w="-46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45"/>
        <w:gridCol w:w="709"/>
        <w:gridCol w:w="850"/>
        <w:gridCol w:w="6662"/>
        <w:gridCol w:w="993"/>
        <w:gridCol w:w="992"/>
        <w:gridCol w:w="1134"/>
        <w:gridCol w:w="1134"/>
        <w:gridCol w:w="1276"/>
        <w:gridCol w:w="850"/>
      </w:tblGrid>
      <w:tr>
        <w:tblPrEx/>
        <w:trPr>
          <w:cantSplit/>
          <w:trHeight w:val="2752" w:hRule="exact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Наименование лесничества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проектируемых мер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Участковое лесничество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Квартал/ Выдел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Создание, содержание и эксплуатация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Прокладка просек, противопожарных разрывов, устройство противопожарных минерализованных полос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Прочистка просек, 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Благоустройство зон отдыха граждан, пребывающих в лесах в соответствии со статьей 11 Лесного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</w:t>
            </w:r>
            <w:r>
              <w:rPr>
                <w:rFonts w:ascii="Times New Roman" w:hAnsi="Times New Roman" w:cs="Times New Roman"/>
              </w:rPr>
              <w:t xml:space="preserve">проведение профилактич</w:t>
            </w:r>
            <w:r>
              <w:rPr>
                <w:rFonts w:ascii="Times New Roman" w:hAnsi="Times New Roman" w:cs="Times New Roman"/>
              </w:rPr>
              <w:t xml:space="preserve">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btLr"/>
            <w:noWrap w:val="false"/>
          </w:tcPr>
          <w:p>
            <w:pPr>
              <w:ind w:left="113" w:right="11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2.14. Установка и размещение стендов и других знаков и указателей, содержащих информацию о мерах пожарной безопасности в лесах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кв.65 выд.34; кв.66 выд.34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квартал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кв.9 выд.8,10,37,35;кв.10 выд.9,8,20,42,29,38,36;кв.11 выд.17,18,38,33,51,53; кв.12 выд.42,31,22,23,25,16,17;кв.22 выд.11,19;кв.29 выд.33,9,13;кв.18 выд.14,11,10,6,7;кв.33 выд.10;кв.40 выд.13,2;кв.32 выд.7,10;кв.28 выд.14,5,11,16;кв.27 </w:t>
            </w:r>
            <w:r>
              <w:rPr>
                <w:rFonts w:cs="Calibri"/>
                <w:color w:val="000000"/>
              </w:rPr>
              <w:t xml:space="preserve">выд.15,20,12,14,19; кв.1 выд.59,71,73,76,65,64,81,82,67,68,54,62,87,86,88,91,93,97,111,101,98,97,104,120,133,117; кв.2 выд.15,14,17,11,3,24,13,12,23,25,28,41,36,35,40,55,61; кв.121 выд.12,19,3,1; кв.98 выд.27,13,6; кв.99 выд.1,2,3; кв.79 выд.23,12,16,7,2,8</w:t>
            </w:r>
            <w:r>
              <w:rPr>
                <w:rFonts w:cs="Calibri"/>
                <w:color w:val="000000"/>
              </w:rPr>
              <w:t xml:space="preserve">,3,1; кв.64 выд.19,20,22,4,3,6; кв.66 выд.3,4,6,7,8; кв.52 выд.45,46,38,35,42,11,14; кв.415 выд.3,4,5,2,1; кв.396 выд.2,3,6; кв.381 выд.2,8,13; кв.382 выд.2,1; кв.383 выд.1; кв.416 выд.32,33,31,23,27; кв.438 выд.8,25,24,35,45,44,42,43; кв.392 выд.1,2,3,6; </w:t>
            </w:r>
            <w:r>
              <w:rPr>
                <w:rFonts w:cs="Calibri"/>
                <w:color w:val="000000"/>
              </w:rPr>
              <w:t xml:space="preserve">кв.389 выд.12,13,2,7,33,29,31,30; кв.379 выд.7,2; кв.330 выд.22,16,18; кв.401 в19,10; кв.399 выд.35,34,20; кв.402 выд.8,10; кв.404 выд.9; кв.401 выд.56,13,14,12,11,10,15,20,1,4; кв.386 выд.18,10,11,12,5,3; кв.387 выд.10,4,12,7,13; кв.388 выд.6,9,7; кв.303 </w:t>
            </w:r>
            <w:r>
              <w:rPr>
                <w:rFonts w:cs="Calibri"/>
                <w:color w:val="000000"/>
              </w:rPr>
              <w:t xml:space="preserve">выд.21,12,14,20,19; кв.328 выд.2,3,1; кв.334 выд.3,2; кв.304 выд.5; кв.300 выд.23; кв.269 выд.38,34,18,24,25; кв.250 выд.17,26,29;</w:t>
            </w:r>
            <w:r>
              <w:rPr>
                <w:rFonts w:cs="Calibri"/>
                <w:color w:val="000000"/>
              </w:rPr>
              <w:t xml:space="preserve"> кв.249 выд.29; кв.362 выд.8; кв.337 выд.15; кв.412 выд.5,8; кв.395 выд.32; кв.410 выд.12,17,16; кв.411 выд.1,9,8; кв.117 выд.82; кв.138 выд.1,2; кв.284 выд.18,2,14,1; кв.287 выд.20,8,9,31; кв. 74 выд.237,236,238,235,242,211,209,207,206,204; кв.183 выд.13;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/>
              </w:rPr>
              <w:t xml:space="preserve">3 квартал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кв.56 выд.40;кв.62 выд.11;кв.61 выд.17,18;кв.67 выд.34,4,31,26,20;кв. 74 выд.20,2;кв.39 выд.13; кв.40 выд.19,7;кв.41 выд.30,23,29; кв.54 выд.3,1,4,11;кв.46 выд.18,14,9,10;кв.73 выд.10,23,14; кв.72 выд.23,5,30;кв.66 выд.14,24,22,23,19;кв.65 выд.28,25,</w:t>
            </w:r>
            <w:r>
              <w:rPr>
                <w:rFonts w:cs="Calibri"/>
                <w:color w:val="000000"/>
              </w:rPr>
              <w:t xml:space="preserve">22,10,3;кв.58 выд.7,13;кв.57 выд.10;кв.71 выд.18,12,6;кв.64 выд.21;кв.63 выд.37,15,5,4;кв.46 выд.23,22;кв.42выд.7,16;кв.43 выд.18,19,9,26;кв.44 выд.10,12,1;кв.45 выд.21,19,22,20,11,28;кв.49 выд.9,27,15,34;кв.50 выд.2,40,34;кв.51 выд.10,13,8,12;кв.52 выд.2;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/>
              </w:rPr>
              <w:t xml:space="preserve">3 квартал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кв.22 выд.1,11,21; кв.29 выд4,33,32,1; кв.301 выд.7,12; кв.35 выд.9,10,11,12,18; кв.28 выд.37,27,26,8,33,32,20,31,11</w:t>
            </w:r>
            <w:r>
              <w:rPr>
                <w:rFonts w:cs="Calibri"/>
                <w:color w:val="000000"/>
              </w:rPr>
              <w:t xml:space="preserve">,1,2,15,16,17; кв.269 выд.34,37; кв.21 выд.3,23,26; кв.27 выд.29,13,28,7,5; кв.34 выд.8,12,19,27,20,18,30,29,4; кв.28 1,5,11,16,28; кв.35 выд.14,21,22,24,17,7; кв.1 выд.59,73,96,98,100,101,112,102,114,120,121,125,138,55,33,32,30,35,24,2,26,27,42,48; кв.56 </w:t>
            </w:r>
            <w:r>
              <w:rPr>
                <w:rFonts w:cs="Calibri"/>
                <w:color w:val="000000"/>
              </w:rPr>
              <w:t xml:space="preserve">выд.143,144</w:t>
            </w:r>
            <w:r>
              <w:rPr>
                <w:rFonts w:cs="Calibri"/>
                <w:color w:val="000000"/>
              </w:rPr>
              <w:t xml:space="preserve">,84,48,36; кв.43 выд.51,53,58,59,60,61,68,69,75; кв. 9 выд.41,42,44,36,38,37,12,35; кв.10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26,49,38; кв.12 выд.8,9,23,25,37,26,53; кв.11 выд.1,16,2,17,31,38,34,33,51,52,40,39; кв.99 выд.54,55,33; кв.2 выд.1,9,14,16,19,28,25; кв.74 </w:t>
            </w:r>
            <w:r>
              <w:rPr>
                <w:rFonts w:cs="Calibri"/>
                <w:color w:val="000000"/>
              </w:rPr>
              <w:t xml:space="preserve">выд.236,237</w:t>
            </w:r>
            <w:r>
              <w:rPr>
                <w:rFonts w:cs="Calibri"/>
                <w:color w:val="000000"/>
              </w:rPr>
              <w:t xml:space="preserve">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/>
              </w:rPr>
              <w:t xml:space="preserve">3 квартал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42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8,39; кв. 43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9, 39; кв. 49 выд.39; кв.56 выд.13; кв.43 выд.23; кв.50 выд.2,32,42,33,40; кв.57 выд.10; кв.58 выд.9,7,15,16,14,20; кв.65 выд.4,3,15,22,21,24,29; кв.72 выд.4,5,13,22,35; кв.70 выд.41,36,34,35,33,27,28,29,30,20,22,23,17,12,13; кв.71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14,8,2; </w:t>
            </w:r>
            <w:r>
              <w:rPr>
                <w:rFonts w:cs="Calibri"/>
                <w:color w:val="000000"/>
              </w:rPr>
              <w:t xml:space="preserve">кв.63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25,15,3,16,5,4; кв.54 выд.44; кв.49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3,5,20; кв.42 выд.35,24,30,39; кв.43 выд.9,29; кв.49 выд.5,3,20; кв.50 выд.12; кв.70 выд.13,15,20; кв.39 выд.2,4,11,22,23,37,38; кв.41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14; кв.55 выд.6,12,11,15; кв.331 выд.11,16,27,25; кв.382 выд.8,9,11; кв.381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10,14,13,17,15,56,57; кв.380 выд.5,9,12; кв.74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27,26; кв. 73 выд.24,17,10,23,25; кв.379 выд.29,23,2,3,12,13; кв.71 выд.32,19,25,26; кв.70 выд.43,44,3,33,27,19,13,2,1,41; кв.63 выд.10,18; кв.355 24,12; кв.354 выд.25; кв.304 выд.35,38; кв.42 выд.2,3; кв.305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12,13,14,15,5,9; кв.43 выд.2,3.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/>
              </w:rPr>
              <w:t xml:space="preserve">3 квартал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6; кв. 250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17. 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кв. 269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1, кв. 155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40, кв. 331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7, кв. 376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56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Чулымский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лху</w:t>
            </w:r>
            <w:r>
              <w:rPr>
                <w:rFonts w:cs="Calibri"/>
                <w:color w:val="000000"/>
              </w:rPr>
              <w:t xml:space="preserve"> -кв. 37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14, кв. 38 </w:t>
            </w:r>
            <w:r>
              <w:rPr>
                <w:rFonts w:cs="Calibri"/>
                <w:color w:val="000000"/>
              </w:rPr>
              <w:t xml:space="preserve">выд</w:t>
            </w:r>
            <w:r>
              <w:rPr>
                <w:rFonts w:cs="Calibri"/>
                <w:color w:val="000000"/>
              </w:rPr>
              <w:t xml:space="preserve">. 1; 13.</w:t>
            </w:r>
            <w:r>
              <w:rPr>
                <w:rFonts w:cs="Calibri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квартал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Чулымский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выд.11; кв.359 выд.16; кв.334 выд.3; кв.99 выд.32; кв.130 выд.</w:t>
            </w:r>
            <w:r>
              <w:rPr>
                <w:color w:val="000000"/>
              </w:rPr>
              <w:t xml:space="preserve">5;кв.</w:t>
            </w:r>
            <w:r>
              <w:rPr>
                <w:color w:val="000000"/>
              </w:rPr>
              <w:t xml:space="preserve">404 выд.1;кв.418 выд.13;кв.250 выд.17;кв.276 выд.9;кв.376 выд.23;кв.73 выд.27;кв.74 выд.237;кв.153 выд.44;кв.88 выд.144;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кв.28 выд.</w:t>
            </w:r>
            <w:r>
              <w:rPr>
                <w:color w:val="000000"/>
              </w:rPr>
              <w:t xml:space="preserve">6;кв.</w:t>
            </w:r>
            <w:r>
              <w:rPr>
                <w:color w:val="000000"/>
              </w:rPr>
              <w:t xml:space="preserve">127 выд.32;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Ужанихинский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кв.376 выд.</w:t>
            </w:r>
            <w:r>
              <w:rPr>
                <w:color w:val="000000"/>
              </w:rPr>
              <w:t xml:space="preserve">56;кв.</w:t>
            </w:r>
            <w:r>
              <w:rPr>
                <w:color w:val="000000"/>
              </w:rPr>
              <w:t xml:space="preserve">373 выд.26;кв.175 выд.25;кв.153 выд.67;кв.148 выд.48;кв.347 выд.18;кв.345 выд.27;кв.269 выд.1;кв.386 выд.28;кв.301 выд.9;кв.155 выд.40;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кв.368 выд.</w:t>
            </w:r>
            <w:r>
              <w:rPr>
                <w:color w:val="000000"/>
              </w:rPr>
              <w:t xml:space="preserve">41;кв.</w:t>
            </w:r>
            <w:r>
              <w:rPr>
                <w:color w:val="000000"/>
              </w:rPr>
              <w:t xml:space="preserve">269 выд.1;кв.346 выд.24;</w:t>
            </w:r>
            <w:r>
              <w:rPr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квартал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"/>
        <w:jc w:val="center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Графическая часть плана противопожарного обустройства лесов (прилагается)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r/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bookmarkStart w:id="4" w:name="_GoBack"/>
      <w:r/>
      <w:bookmarkEnd w:id="4"/>
      <w:r/>
      <w:r/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;serif">
    <w:panose1 w:val="020206030504050203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Segoe UI">
    <w:panose1 w:val="020B0502040204020203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26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2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160" w:line="259" w:lineRule="auto"/>
    </w:pPr>
    <w:rPr>
      <w:color w:val="00000a"/>
      <w:sz w:val="22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 w:customStyle="1">
    <w:name w:val="Текст выноски Знак"/>
    <w:basedOn w:val="622"/>
    <w:qFormat/>
    <w:rPr>
      <w:rFonts w:ascii="Segoe UI" w:hAnsi="Segoe UI" w:cs="Segoe UI"/>
      <w:sz w:val="18"/>
      <w:szCs w:val="18"/>
    </w:rPr>
  </w:style>
  <w:style w:type="paragraph" w:styleId="626">
    <w:name w:val="Title"/>
    <w:basedOn w:val="621"/>
    <w:next w:val="62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27">
    <w:name w:val="Body Text"/>
    <w:basedOn w:val="621"/>
    <w:pPr>
      <w:spacing w:after="140" w:line="288" w:lineRule="auto"/>
    </w:pPr>
  </w:style>
  <w:style w:type="paragraph" w:styleId="628">
    <w:name w:val="List"/>
    <w:basedOn w:val="627"/>
    <w:rPr>
      <w:rFonts w:cs="Mangal"/>
    </w:rPr>
  </w:style>
  <w:style w:type="paragraph" w:styleId="629">
    <w:name w:val="Caption"/>
    <w:basedOn w:val="62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30">
    <w:name w:val="index heading"/>
    <w:basedOn w:val="621"/>
    <w:qFormat/>
    <w:pPr>
      <w:suppressLineNumbers/>
    </w:pPr>
    <w:rPr>
      <w:rFonts w:cs="Mangal"/>
    </w:rPr>
  </w:style>
  <w:style w:type="paragraph" w:styleId="631">
    <w:name w:val="Balloon Text"/>
    <w:basedOn w:val="621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32">
    <w:name w:val="List Paragraph"/>
    <w:basedOn w:val="621"/>
    <w:qFormat/>
    <w:pPr>
      <w:contextualSpacing/>
      <w:ind w:left="720"/>
    </w:pPr>
  </w:style>
  <w:style w:type="paragraph" w:styleId="633" w:customStyle="1">
    <w:name w:val="Содержимое таблицы"/>
    <w:basedOn w:val="621"/>
    <w:qFormat/>
  </w:style>
  <w:style w:type="paragraph" w:styleId="634" w:customStyle="1">
    <w:name w:val="Заголовок таблицы"/>
    <w:basedOn w:val="633"/>
    <w:qFormat/>
  </w:style>
  <w:style w:type="table" w:styleId="635">
    <w:name w:val="Table Grid"/>
    <w:basedOn w:val="62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19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937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694C-CDAF-40F1-ABA6-C21E2C8B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Парфентьева Надежда Анатольевна</dc:creator>
  <dc:description/>
  <dc:language>ru-RU</dc:language>
  <cp:revision>71</cp:revision>
  <dcterms:created xsi:type="dcterms:W3CDTF">2024-03-13T09:59:00Z</dcterms:created>
  <dcterms:modified xsi:type="dcterms:W3CDTF">2024-04-15T09:11:45Z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