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B80" w:rsidRPr="008B7B80" w:rsidRDefault="008B7B80" w:rsidP="008B7B80">
      <w:pPr>
        <w:pStyle w:val="ConsPlusTitlePage"/>
        <w:contextualSpacing/>
        <w:rPr>
          <w:rFonts w:ascii="Times New Roman" w:hAnsi="Times New Roman" w:cs="Times New Roman"/>
          <w:sz w:val="28"/>
          <w:szCs w:val="28"/>
        </w:rPr>
      </w:pPr>
      <w:bookmarkStart w:id="0" w:name="_GoBack"/>
      <w:bookmarkEnd w:id="0"/>
      <w:r w:rsidRPr="008B7B80">
        <w:rPr>
          <w:rFonts w:ascii="Times New Roman" w:hAnsi="Times New Roman" w:cs="Times New Roman"/>
          <w:sz w:val="28"/>
          <w:szCs w:val="28"/>
        </w:rPr>
        <w:t xml:space="preserve">Документ предоставлен </w:t>
      </w:r>
      <w:hyperlink r:id="rId6" w:history="1">
        <w:proofErr w:type="spellStart"/>
        <w:r w:rsidRPr="008B7B80">
          <w:rPr>
            <w:rFonts w:ascii="Times New Roman" w:hAnsi="Times New Roman" w:cs="Times New Roman"/>
            <w:color w:val="0000FF"/>
            <w:sz w:val="28"/>
            <w:szCs w:val="28"/>
          </w:rPr>
          <w:t>КонсультантПлюс</w:t>
        </w:r>
        <w:proofErr w:type="spellEnd"/>
      </w:hyperlink>
      <w:r w:rsidRPr="008B7B80">
        <w:rPr>
          <w:rFonts w:ascii="Times New Roman" w:hAnsi="Times New Roman" w:cs="Times New Roman"/>
          <w:sz w:val="28"/>
          <w:szCs w:val="28"/>
        </w:rPr>
        <w:br/>
      </w:r>
    </w:p>
    <w:p w:rsidR="008B7B80" w:rsidRPr="008B7B80" w:rsidRDefault="008B7B80" w:rsidP="008B7B80">
      <w:pPr>
        <w:pStyle w:val="ConsPlusNormal"/>
        <w:contextualSpacing/>
        <w:jc w:val="both"/>
        <w:outlineLvl w:val="0"/>
        <w:rPr>
          <w:rFonts w:ascii="Times New Roman" w:hAnsi="Times New Roman" w:cs="Times New Roman"/>
          <w:sz w:val="28"/>
          <w:szCs w:val="28"/>
        </w:rPr>
      </w:pPr>
    </w:p>
    <w:p w:rsidR="008B7B80" w:rsidRPr="008B7B80" w:rsidRDefault="008B7B80" w:rsidP="008B7B80">
      <w:pPr>
        <w:pStyle w:val="ConsPlusTitle"/>
        <w:contextualSpacing/>
        <w:jc w:val="center"/>
        <w:outlineLvl w:val="0"/>
        <w:rPr>
          <w:rFonts w:ascii="Times New Roman" w:hAnsi="Times New Roman" w:cs="Times New Roman"/>
          <w:sz w:val="28"/>
          <w:szCs w:val="28"/>
        </w:rPr>
      </w:pPr>
      <w:r w:rsidRPr="008B7B80">
        <w:rPr>
          <w:rFonts w:ascii="Times New Roman" w:hAnsi="Times New Roman" w:cs="Times New Roman"/>
          <w:sz w:val="28"/>
          <w:szCs w:val="28"/>
        </w:rPr>
        <w:t>МИНИСТЕРСТВО ТРУДА И СОЦИАЛЬНОЙ ЗАЩИТЫ РОССИЙСКОЙ ФЕДЕРАЦИИ</w:t>
      </w:r>
    </w:p>
    <w:p w:rsidR="008B7B80" w:rsidRPr="008B7B80" w:rsidRDefault="008B7B80" w:rsidP="008B7B80">
      <w:pPr>
        <w:pStyle w:val="ConsPlusTitle"/>
        <w:contextualSpacing/>
        <w:jc w:val="center"/>
        <w:rPr>
          <w:rFonts w:ascii="Times New Roman" w:hAnsi="Times New Roman" w:cs="Times New Roman"/>
          <w:sz w:val="28"/>
          <w:szCs w:val="28"/>
        </w:rPr>
      </w:pPr>
    </w:p>
    <w:p w:rsidR="008B7B80" w:rsidRPr="008B7B80" w:rsidRDefault="008B7B80" w:rsidP="008B7B80">
      <w:pPr>
        <w:pStyle w:val="ConsPlusTitle"/>
        <w:contextualSpacing/>
        <w:jc w:val="center"/>
        <w:rPr>
          <w:rFonts w:ascii="Times New Roman" w:hAnsi="Times New Roman" w:cs="Times New Roman"/>
          <w:sz w:val="28"/>
          <w:szCs w:val="28"/>
        </w:rPr>
      </w:pPr>
      <w:r w:rsidRPr="008B7B80">
        <w:rPr>
          <w:rFonts w:ascii="Times New Roman" w:hAnsi="Times New Roman" w:cs="Times New Roman"/>
          <w:sz w:val="28"/>
          <w:szCs w:val="28"/>
        </w:rPr>
        <w:t>МЕТОДИЧЕСКИЕ РЕКОМЕНДАЦИИ</w:t>
      </w:r>
    </w:p>
    <w:p w:rsidR="008B7B80" w:rsidRPr="008B7B80" w:rsidRDefault="008B7B80" w:rsidP="008B7B80">
      <w:pPr>
        <w:pStyle w:val="ConsPlusTitle"/>
        <w:contextualSpacing/>
        <w:jc w:val="center"/>
        <w:rPr>
          <w:rFonts w:ascii="Times New Roman" w:hAnsi="Times New Roman" w:cs="Times New Roman"/>
          <w:sz w:val="28"/>
          <w:szCs w:val="28"/>
        </w:rPr>
      </w:pPr>
      <w:r w:rsidRPr="008B7B80">
        <w:rPr>
          <w:rFonts w:ascii="Times New Roman" w:hAnsi="Times New Roman" w:cs="Times New Roman"/>
          <w:sz w:val="28"/>
          <w:szCs w:val="28"/>
        </w:rPr>
        <w:t>ПО ВЫЯВЛЕНИЮ И МИНИМИЗАЦИИ КОРРУПЦИОННЫХ РИСКОВ</w:t>
      </w:r>
    </w:p>
    <w:p w:rsidR="008B7B80" w:rsidRPr="008B7B80" w:rsidRDefault="008B7B80" w:rsidP="008B7B80">
      <w:pPr>
        <w:pStyle w:val="ConsPlusTitle"/>
        <w:contextualSpacing/>
        <w:jc w:val="center"/>
        <w:rPr>
          <w:rFonts w:ascii="Times New Roman" w:hAnsi="Times New Roman" w:cs="Times New Roman"/>
          <w:sz w:val="28"/>
          <w:szCs w:val="28"/>
        </w:rPr>
      </w:pPr>
      <w:r w:rsidRPr="008B7B80">
        <w:rPr>
          <w:rFonts w:ascii="Times New Roman" w:hAnsi="Times New Roman" w:cs="Times New Roman"/>
          <w:sz w:val="28"/>
          <w:szCs w:val="28"/>
        </w:rPr>
        <w:t>ПРИ ОСУЩЕСТВЛЕНИИ ЗАКУПОК ТОВАРОВ, РАБОТ, УСЛУГ</w:t>
      </w:r>
    </w:p>
    <w:p w:rsidR="008B7B80" w:rsidRPr="008B7B80" w:rsidRDefault="008B7B80" w:rsidP="008B7B80">
      <w:pPr>
        <w:pStyle w:val="ConsPlusTitle"/>
        <w:contextualSpacing/>
        <w:jc w:val="center"/>
        <w:rPr>
          <w:rFonts w:ascii="Times New Roman" w:hAnsi="Times New Roman" w:cs="Times New Roman"/>
          <w:sz w:val="28"/>
          <w:szCs w:val="28"/>
        </w:rPr>
      </w:pPr>
      <w:r w:rsidRPr="008B7B80">
        <w:rPr>
          <w:rFonts w:ascii="Times New Roman" w:hAnsi="Times New Roman" w:cs="Times New Roman"/>
          <w:sz w:val="28"/>
          <w:szCs w:val="28"/>
        </w:rPr>
        <w:t>ДЛЯ ОБЕСПЕЧЕНИЯ ГОСУДАРСТВЕННЫХ ИЛИ МУНИЦИПАЛЬНЫХ НУЖД</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Title"/>
        <w:contextualSpacing/>
        <w:jc w:val="center"/>
        <w:outlineLvl w:val="1"/>
        <w:rPr>
          <w:rFonts w:ascii="Times New Roman" w:hAnsi="Times New Roman" w:cs="Times New Roman"/>
          <w:sz w:val="28"/>
          <w:szCs w:val="28"/>
        </w:rPr>
      </w:pPr>
      <w:r w:rsidRPr="008B7B80">
        <w:rPr>
          <w:rFonts w:ascii="Times New Roman" w:hAnsi="Times New Roman" w:cs="Times New Roman"/>
          <w:sz w:val="28"/>
          <w:szCs w:val="28"/>
        </w:rPr>
        <w:t>1. Введение</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1.1. Настоящие Методические рекомендации подготовлены во исполнение </w:t>
      </w:r>
      <w:hyperlink r:id="rId7" w:history="1">
        <w:r w:rsidRPr="008B7B80">
          <w:rPr>
            <w:rFonts w:ascii="Times New Roman" w:hAnsi="Times New Roman" w:cs="Times New Roman"/>
            <w:color w:val="0000FF"/>
            <w:sz w:val="28"/>
            <w:szCs w:val="28"/>
          </w:rPr>
          <w:t>подпункта "б" пункта 16</w:t>
        </w:r>
      </w:hyperlink>
      <w:r w:rsidRPr="008B7B80">
        <w:rPr>
          <w:rFonts w:ascii="Times New Roman" w:hAnsi="Times New Roman" w:cs="Times New Roman"/>
          <w:sz w:val="28"/>
          <w:szCs w:val="28"/>
        </w:rP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и направлены на оказание консультативной и методической помощи в проведении работы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осуществляемых в соответствии с Федеральным </w:t>
      </w:r>
      <w:hyperlink r:id="rId8" w:history="1">
        <w:r w:rsidRPr="008B7B80">
          <w:rPr>
            <w:rFonts w:ascii="Times New Roman" w:hAnsi="Times New Roman" w:cs="Times New Roman"/>
            <w:color w:val="0000FF"/>
            <w:sz w:val="28"/>
            <w:szCs w:val="28"/>
          </w:rPr>
          <w:t>законом</w:t>
        </w:r>
      </w:hyperlink>
      <w:r w:rsidRPr="008B7B80">
        <w:rPr>
          <w:rFonts w:ascii="Times New Roman" w:hAnsi="Times New Roman" w:cs="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 "</w:t>
      </w:r>
      <w:proofErr w:type="spellStart"/>
      <w:r w:rsidRPr="008B7B80">
        <w:rPr>
          <w:rFonts w:ascii="Times New Roman" w:hAnsi="Times New Roman" w:cs="Times New Roman"/>
          <w:sz w:val="28"/>
          <w:szCs w:val="28"/>
        </w:rPr>
        <w:t>Росатом</w:t>
      </w:r>
      <w:proofErr w:type="spellEnd"/>
      <w:r w:rsidRPr="008B7B80">
        <w:rPr>
          <w:rFonts w:ascii="Times New Roman" w:hAnsi="Times New Roman" w:cs="Times New Roman"/>
          <w:sz w:val="28"/>
          <w:szCs w:val="28"/>
        </w:rPr>
        <w:t>", Государственной корпорацией по космической деятельности "</w:t>
      </w:r>
      <w:proofErr w:type="spellStart"/>
      <w:r w:rsidRPr="008B7B80">
        <w:rPr>
          <w:rFonts w:ascii="Times New Roman" w:hAnsi="Times New Roman" w:cs="Times New Roman"/>
          <w:sz w:val="28"/>
          <w:szCs w:val="28"/>
        </w:rPr>
        <w:t>Роскосмос</w:t>
      </w:r>
      <w:proofErr w:type="spellEnd"/>
      <w:r w:rsidRPr="008B7B80">
        <w:rPr>
          <w:rFonts w:ascii="Times New Roman" w:hAnsi="Times New Roman" w:cs="Times New Roman"/>
          <w:sz w:val="28"/>
          <w:szCs w:val="28"/>
        </w:rPr>
        <w:t xml:space="preserve">", органами управления государственных внебюджетных фондов и иными организациями (далее - орган (организация)), которые в соответствии с положениями </w:t>
      </w:r>
      <w:hyperlink r:id="rId9" w:history="1">
        <w:r w:rsidRPr="008B7B80">
          <w:rPr>
            <w:rFonts w:ascii="Times New Roman" w:hAnsi="Times New Roman" w:cs="Times New Roman"/>
            <w:color w:val="0000FF"/>
            <w:sz w:val="28"/>
            <w:szCs w:val="28"/>
          </w:rPr>
          <w:t>статьи 3</w:t>
        </w:r>
      </w:hyperlink>
      <w:r w:rsidRPr="008B7B80">
        <w:rPr>
          <w:rFonts w:ascii="Times New Roman" w:hAnsi="Times New Roman" w:cs="Times New Roman"/>
          <w:sz w:val="28"/>
          <w:szCs w:val="28"/>
        </w:rPr>
        <w:t xml:space="preserve"> Федерального закона N 44-ФЗ признаются заказчиками (далее - заказчики). &lt;1&gt;</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&lt;1&gt;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Федеральным </w:t>
      </w:r>
      <w:hyperlink r:id="rId10" w:history="1">
        <w:r w:rsidRPr="008B7B80">
          <w:rPr>
            <w:rFonts w:ascii="Times New Roman" w:hAnsi="Times New Roman" w:cs="Times New Roman"/>
            <w:color w:val="0000FF"/>
            <w:sz w:val="28"/>
            <w:szCs w:val="28"/>
          </w:rPr>
          <w:t>законом</w:t>
        </w:r>
      </w:hyperlink>
      <w:r w:rsidRPr="008B7B80">
        <w:rPr>
          <w:rFonts w:ascii="Times New Roman" w:hAnsi="Times New Roman" w:cs="Times New Roman"/>
          <w:sz w:val="28"/>
          <w:szCs w:val="28"/>
        </w:rPr>
        <w:t xml:space="preserve"> от 18 июля 2011 г. N 223-ФЗ "О закупках товаров, работ, услуг отдельными видами юридических лиц".</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1.2. Основным инструментом выявления и минимизации коррупционных рисков при осуществлении закупок является оценка коррупционных рисков. В этой связи предметом настоящих Методических рекомендаций является </w:t>
      </w:r>
      <w:r w:rsidRPr="008B7B80">
        <w:rPr>
          <w:rFonts w:ascii="Times New Roman" w:hAnsi="Times New Roman" w:cs="Times New Roman"/>
          <w:sz w:val="28"/>
          <w:szCs w:val="28"/>
        </w:rPr>
        <w:lastRenderedPageBreak/>
        <w:t>порядок проведения оценки коррупционных рисков, возникающих при осуществлении закупочной деятельности органом (организацией).</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Предлагаемый подход рекомендуется в целях выявления и минимизации коррупционных рисков при осуществлении закупок и может применяться в иных направлениях деятельности органа (организации) с учетом соответствующих особенностей.</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1.3. 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по профилактике коррупционных и иных правонарушений (должностным лицам органов (организаций), ответственным за работу по профилактике коррупционных и иных правонарушений) (далее - подразделение по профилактике коррупционных правонарушений) &lt;2&gt;, которые, по общему правилу &lt;3&gt;, являются ответственными за профилактику коррупционных правонарушений в органе (организации), а также за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противодействия коррупции.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&lt;2&gt;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r:id="rId11" w:history="1">
        <w:r w:rsidRPr="008B7B80">
          <w:rPr>
            <w:rFonts w:ascii="Times New Roman" w:hAnsi="Times New Roman" w:cs="Times New Roman"/>
            <w:color w:val="0000FF"/>
            <w:sz w:val="28"/>
            <w:szCs w:val="28"/>
          </w:rPr>
          <w:t>пункт 1 части 2</w:t>
        </w:r>
      </w:hyperlink>
      <w:r w:rsidRPr="008B7B80">
        <w:rPr>
          <w:rFonts w:ascii="Times New Roman" w:hAnsi="Times New Roman" w:cs="Times New Roman"/>
          <w:sz w:val="28"/>
          <w:szCs w:val="28"/>
        </w:rPr>
        <w:t xml:space="preserve"> статьи 13.3 Федерального закона N 273-ФЗ).</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&lt;3&gt; См., например, </w:t>
      </w:r>
      <w:hyperlink r:id="rId12" w:history="1">
        <w:r w:rsidRPr="008B7B80">
          <w:rPr>
            <w:rFonts w:ascii="Times New Roman" w:hAnsi="Times New Roman" w:cs="Times New Roman"/>
            <w:color w:val="0000FF"/>
            <w:sz w:val="28"/>
            <w:szCs w:val="28"/>
          </w:rPr>
          <w:t>пункт 5</w:t>
        </w:r>
      </w:hyperlink>
      <w:r w:rsidRPr="008B7B80">
        <w:rPr>
          <w:rFonts w:ascii="Times New Roman" w:hAnsi="Times New Roman" w:cs="Times New Roman"/>
          <w:sz w:val="28"/>
          <w:szCs w:val="28"/>
        </w:rPr>
        <w:t xml:space="preserve">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г. N 364 "О мерах по совершенствованию организации деятельности в области противодействия коррупции", </w:t>
      </w:r>
      <w:hyperlink r:id="rId13" w:history="1">
        <w:r w:rsidRPr="008B7B80">
          <w:rPr>
            <w:rFonts w:ascii="Times New Roman" w:hAnsi="Times New Roman" w:cs="Times New Roman"/>
            <w:color w:val="0000FF"/>
            <w:sz w:val="28"/>
            <w:szCs w:val="28"/>
          </w:rPr>
          <w:t>пункт 7</w:t>
        </w:r>
      </w:hyperlink>
      <w:r w:rsidRPr="008B7B80">
        <w:rPr>
          <w:rFonts w:ascii="Times New Roman" w:hAnsi="Times New Roman" w:cs="Times New Roman"/>
          <w:sz w:val="28"/>
          <w:szCs w:val="28"/>
        </w:rPr>
        <w:t xml:space="preserve">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 совместно с заинтересованными органами (организациями) и размещенного для ознакомления и скачивания на официальном сайте Минтруда России в информационно-телекоммуникационной сети "Интернет": https://mintrud.gov.ru/ministry/programms/anticorruption/015/1.</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lastRenderedPageBreak/>
        <w:t>1.4. 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1.5. Оценка коррупционных рисков позволяет провести анализ проводимых в органе (организации) в соответствии с Федеральным </w:t>
      </w:r>
      <w:hyperlink r:id="rId14" w:history="1">
        <w:r w:rsidRPr="008B7B80">
          <w:rPr>
            <w:rFonts w:ascii="Times New Roman" w:hAnsi="Times New Roman" w:cs="Times New Roman"/>
            <w:color w:val="0000FF"/>
            <w:sz w:val="28"/>
            <w:szCs w:val="28"/>
          </w:rPr>
          <w:t>законом</w:t>
        </w:r>
      </w:hyperlink>
      <w:r w:rsidRPr="008B7B80">
        <w:rPr>
          <w:rFonts w:ascii="Times New Roman" w:hAnsi="Times New Roman" w:cs="Times New Roman"/>
          <w:sz w:val="28"/>
          <w:szCs w:val="28"/>
        </w:rPr>
        <w:t xml:space="preserve"> N 44-ФЗ закупочных процедур для целей минимизации уровня коррупции.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1.6. 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На основании результатов оценки коррупционных рисков возможно принятие 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1.7. 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условиях появляется возможность принять адекватные меры, направленные на предупреждение коррупции.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1.8. Реализация в органе (организации) мероприятий, предусмотренных настоящими Методическими рекомендациями, должна осуществляться исходя из фактических возможностей органа (организации).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1.9. 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В этой связи органу (организации) рекомендуется самостоятельно с учетом положений настоящих Методических рекомендаций определять собственные коррупционные риски и индикаторы коррупции.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1.10. Результатом использования настоящих Методических рекомендаций будет обеспечение в органах (организациях) единого подхода к организации работы по:</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выявлению коррупционных рисков, возникающих на разных этапах закупочной деятельности;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разработке реестра (карты) коррупционных рисков, возникающих при осуществлении закупок (далее - реестр коррупционных рисков), и мер по их минимизации;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формированию индикаторов коррупции при осуществлении закупок.</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lastRenderedPageBreak/>
        <w:t>1.11. Применительно к настоящим Методическим рекомендациями используются следующие понятия:</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коррупционный риск - возможность совершения служащим (работником) коррупционного правонарушения;</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коррупционное правонарушение - действие (бездействие), за совершение которого служащие (работники) в соответствии с законодательством Российской Федерации в области противодействия коррупции несут уголовную, административную, гражданско-правовую и дисциплинарную ответственность;</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оценка коррупционных рисков -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коррупционная схема - способ (совокупность способов) совершения коррупционного правонарушения;</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идентификация коррупционного риска - процесс определения для отдельной процедуры потенциально возможных коррупционных схем при закупках в органе (организации);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анализ коррупционного риска - процесс понимания природы коррупционного риска и возможностей для его реализации;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индикатор коррупции - сведения, указывающие на возможность совершения коррупционного правонарушения, а также на реализацию коррупционной схемы;</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ранжирование коррупционных рисков - процесс определения значимости выявленных коррупционных рисков в соответствии с принятой в органе (организации) методикой.</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1.12. Настоящие Методические рекомендации целесообразно рассматривать в системной взаимосвязи с Методическими </w:t>
      </w:r>
      <w:hyperlink r:id="rId15" w:history="1">
        <w:r w:rsidRPr="008B7B80">
          <w:rPr>
            <w:rFonts w:ascii="Times New Roman" w:hAnsi="Times New Roman" w:cs="Times New Roman"/>
            <w:color w:val="0000FF"/>
            <w:sz w:val="28"/>
            <w:szCs w:val="28"/>
          </w:rPr>
          <w:t>рекомендациями</w:t>
        </w:r>
      </w:hyperlink>
      <w:r w:rsidRPr="008B7B80">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&lt;4&gt;</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&lt;4&gt; Методические </w:t>
      </w:r>
      <w:hyperlink r:id="rId16" w:history="1">
        <w:r w:rsidRPr="008B7B80">
          <w:rPr>
            <w:rFonts w:ascii="Times New Roman" w:hAnsi="Times New Roman" w:cs="Times New Roman"/>
            <w:color w:val="0000FF"/>
            <w:sz w:val="28"/>
            <w:szCs w:val="28"/>
          </w:rPr>
          <w:t>рекомендации</w:t>
        </w:r>
      </w:hyperlink>
      <w:r w:rsidRPr="008B7B80">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w:t>
      </w:r>
      <w:r w:rsidRPr="008B7B80">
        <w:rPr>
          <w:rFonts w:ascii="Times New Roman" w:hAnsi="Times New Roman" w:cs="Times New Roman"/>
          <w:sz w:val="28"/>
          <w:szCs w:val="28"/>
        </w:rPr>
        <w:lastRenderedPageBreak/>
        <w:t>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"Интернет" по ссылке: https://mintrud.gov.ru/ministry/programms/anticorruption/9/19.</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Title"/>
        <w:contextualSpacing/>
        <w:jc w:val="center"/>
        <w:outlineLvl w:val="1"/>
        <w:rPr>
          <w:rFonts w:ascii="Times New Roman" w:hAnsi="Times New Roman" w:cs="Times New Roman"/>
          <w:sz w:val="28"/>
          <w:szCs w:val="28"/>
        </w:rPr>
      </w:pPr>
      <w:r w:rsidRPr="008B7B80">
        <w:rPr>
          <w:rFonts w:ascii="Times New Roman" w:hAnsi="Times New Roman" w:cs="Times New Roman"/>
          <w:sz w:val="28"/>
          <w:szCs w:val="28"/>
        </w:rPr>
        <w:t>2. Задачи и принципы оценки коррупционных рисков</w:t>
      </w:r>
    </w:p>
    <w:p w:rsidR="008B7B80" w:rsidRPr="008B7B80" w:rsidRDefault="008B7B80" w:rsidP="008B7B80">
      <w:pPr>
        <w:pStyle w:val="ConsPlusTitle"/>
        <w:contextualSpacing/>
        <w:jc w:val="center"/>
        <w:rPr>
          <w:rFonts w:ascii="Times New Roman" w:hAnsi="Times New Roman" w:cs="Times New Roman"/>
          <w:sz w:val="28"/>
          <w:szCs w:val="28"/>
        </w:rPr>
      </w:pPr>
      <w:r w:rsidRPr="008B7B80">
        <w:rPr>
          <w:rFonts w:ascii="Times New Roman" w:hAnsi="Times New Roman" w:cs="Times New Roman"/>
          <w:sz w:val="28"/>
          <w:szCs w:val="28"/>
        </w:rPr>
        <w:t>при осуществлении закупок</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2.1. 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в органе (организации) в указанной сфере и позволяет решить задачи по обеспечению:</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системы управления коррупционными рисками, присущими закупочной деятельности;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2.2. Оценку коррупционных рисков рекомендуется проводить с учетом следующих основных принципов: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законность: оценка коррупционных рисков не должна противоречить нормативным правовым и иным актам Российской Федерации;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полнота: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рациональное распределение ресурсов: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взаимосвязь результатов оценки коррупционных рисков с проводимыми мероприятиями по профилактике коррупционных правонарушений;</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своевременность и регулярность: 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органа (организации)), так и внешним (например, учет изменения законодательства Российской Федерации о закупочной деятельности).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В этой связи оценку коррупционных рисков рекомендуется проводить регулярно (например, раз в два - три года) и при существенном изменении </w:t>
      </w:r>
      <w:r w:rsidRPr="008B7B80">
        <w:rPr>
          <w:rFonts w:ascii="Times New Roman" w:hAnsi="Times New Roman" w:cs="Times New Roman"/>
          <w:sz w:val="28"/>
          <w:szCs w:val="28"/>
        </w:rPr>
        <w:lastRenderedPageBreak/>
        <w:t>применимых обстоятельств (изменение организационно-штатной структуры органа (организации); перераспределение полномочий между структурными подразделениями органа (организации);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и т.д.);</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адекватность: принимаемые в целях проведения оценки коррупционных рисков, в том числе минимизации выявленных рисков, меры не должны возлагать на служащих (работников) избыточную нагрузку, влекущую нарушение нормального осуществления ими своих служебных (трудовых) обязанностей;</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презумпция добросовестности: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 исключение </w:t>
      </w:r>
      <w:proofErr w:type="spellStart"/>
      <w:r w:rsidRPr="008B7B80">
        <w:rPr>
          <w:rFonts w:ascii="Times New Roman" w:hAnsi="Times New Roman" w:cs="Times New Roman"/>
          <w:sz w:val="28"/>
          <w:szCs w:val="28"/>
        </w:rPr>
        <w:t>субъектности</w:t>
      </w:r>
      <w:proofErr w:type="spellEnd"/>
      <w:r w:rsidRPr="008B7B80">
        <w:rPr>
          <w:rFonts w:ascii="Times New Roman" w:hAnsi="Times New Roman" w:cs="Times New Roman"/>
          <w:sz w:val="28"/>
          <w:szCs w:val="28"/>
        </w:rPr>
        <w:t>: предметом оценки коррупционных рисков является процедура осуществления закупки, реализуемая в органе (организации), а не личностные качества участвующих в осуществлении закупки служащих (работников);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беспристрастность и профессионализм: оценку коррупционных рисков необходимо поручать не только лицам, которые являются независимыми по отношению к закупочным процедурам, реализуемым в органе (организации), но и лицам, обладающим необходимыми познаниями в оцениваемой сфере.</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В этой связи к оценке могут быть привлечены не только служащие (работники) подразделения по профилактике коррупционных правонарушений, но и служащие (работники), непосредственно участвующие в осуществлении закупочных процедур, а также иные лица.</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Кроме того, рекомендуется организовать повышение квалификации служащих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конкретность: результаты оценки коррупционных рисков должны быть понятны и объективны, не допускать двусмысленных формулировок и иных возможностей неоднозначного толкования.</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Title"/>
        <w:contextualSpacing/>
        <w:jc w:val="center"/>
        <w:outlineLvl w:val="1"/>
        <w:rPr>
          <w:rFonts w:ascii="Times New Roman" w:hAnsi="Times New Roman" w:cs="Times New Roman"/>
          <w:sz w:val="28"/>
          <w:szCs w:val="28"/>
        </w:rPr>
      </w:pPr>
      <w:r w:rsidRPr="008B7B80">
        <w:rPr>
          <w:rFonts w:ascii="Times New Roman" w:hAnsi="Times New Roman" w:cs="Times New Roman"/>
          <w:sz w:val="28"/>
          <w:szCs w:val="28"/>
        </w:rPr>
        <w:t>3. Рекомендуемый порядок оценки коррупционных рисков</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3.1. Оценка коррупционных рисков заключается в выявлении условий 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(работниками) или третьими лицами материальных и нематериальных выгод вопреки законным интересам общества и государства, органа (организации).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lastRenderedPageBreak/>
        <w:t>3.2. При проведении оценки коррупционных рисков необходимо установить и определить следующее:</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предмет коррупционного правонарушения (за какие возможные действия (бездействие) служащий (работник) может получить противоправную выгоду);</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используемые коррупционные схемы;</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индикаторы коррупции.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3.3. 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подготовительный этап;</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описание процедуры осуществления закупки в органе (организации);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идентификация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анализ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ранжирование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разработка мер по минимизации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утверждение результатов оценки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мониторинг реализации мер по минимизации выявленных коррупционных рисков.</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Title"/>
        <w:ind w:firstLine="540"/>
        <w:contextualSpacing/>
        <w:jc w:val="both"/>
        <w:outlineLvl w:val="2"/>
        <w:rPr>
          <w:rFonts w:ascii="Times New Roman" w:hAnsi="Times New Roman" w:cs="Times New Roman"/>
          <w:sz w:val="28"/>
          <w:szCs w:val="28"/>
        </w:rPr>
      </w:pPr>
      <w:r w:rsidRPr="008B7B80">
        <w:rPr>
          <w:rFonts w:ascii="Times New Roman" w:hAnsi="Times New Roman" w:cs="Times New Roman"/>
          <w:sz w:val="28"/>
          <w:szCs w:val="28"/>
        </w:rPr>
        <w:t>Подготовительный этап</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3.4. Руководителем (уполномоченным должностным лицом) органа (организации) принимается письменное решение (локальный нормативный акт) о проведении оценки коррупционных рисков, в котором отражается следующее:</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персональная ответственность за проведение оценки коррупционных рисков служащего (работника) подразделения по профилактике коррупционных правонарушений;</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сроки проведения;</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права ответственного служащего (работника), а также обязанность руководителей структурных подразделений органа (организации) оказывать содействие в проведении оценки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формы контроля за проведением оценки;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иные аспекты, признанные целесообразными к закреплению в локальном нормативном акте органа (организации).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т.д.</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3.5. Для целей оценки коррупционных рисков может формироваться рабочая группа, в состав которой могут входить не только служащие (работники) подразделения по профилактике коррупционных правонарушений, но служащие (работники) иных структурных подразделений органа (организации), например, ответственных за организацию </w:t>
      </w:r>
      <w:r w:rsidRPr="008B7B80">
        <w:rPr>
          <w:rFonts w:ascii="Times New Roman" w:hAnsi="Times New Roman" w:cs="Times New Roman"/>
          <w:sz w:val="28"/>
          <w:szCs w:val="28"/>
        </w:rPr>
        <w:lastRenderedPageBreak/>
        <w:t>осуществления закупки в органе (организации), и др.</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При наличии возможности и признании целесообразным к оценке коррупционных рисков могут привлекаться также внешние эксперты, в том числе члены комиссии по соблюдению требований к служебному поведению и урегулированию конфликта интересов (при наличии), общественного совета при государственном органе, органе местного самоуправления (при наличии) и т.д.</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В таком случае состав рабочей группы также целесообразно закрепить в локальном акте органа (организации).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bookmarkStart w:id="1" w:name="P97"/>
      <w:bookmarkEnd w:id="1"/>
      <w:r w:rsidRPr="008B7B80">
        <w:rPr>
          <w:rFonts w:ascii="Times New Roman" w:hAnsi="Times New Roman" w:cs="Times New Roman"/>
          <w:sz w:val="28"/>
          <w:szCs w:val="28"/>
        </w:rPr>
        <w:t>3.6. Для целей выявления коррупционных рисков, возникающих при осуществлении закупки, рекомендуется определить внутренние и внешние источники информации.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3.6.1. К внутренним источникам информации можно отнести следующее:</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организационно-штатная структура и штатное расписание органа (организации) в части, касающейся осуществления закупок и иной связанной с ними деятельности;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положения о структурных подразделениях органа (организации), участвующих в закупочной деятельности;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должностные регламенты (инструкции), служебные (трудовые) обязанности служащих (работников), участвующих в осуществлении закупки;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локальные нормативные и иные акты органа (организации), касающиеся осуществления закупок и иной связанной с ними деятельности;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результаты внутреннего или внешнего анализа деятельности органа (организации), касающиеся закупочной деятельности;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факты, свидетельствующие о нарушении в органе (организации) положений законодательства Российской Федерации о закупочной деятельности или иного применимого законодательства Российской Федерации;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сведения о коррупционных правонарушениях, ранее совершенных служащими (работниками) при осуществлении закупок;</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материалы ранее проведенных проверок соблюдения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сведения бухгалтерского баланса;</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план закупок;</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сведения о доходах, расходах, об имуществе и обязательствах имущественного характера служащих (работников), участвующих в осуществлении закупки;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иные документы, в том числе характеризующие порядок (процедуру) осуществления закупки в органе (организации).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3.6.2. К внешним источникам информации можно отнести следующее:</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результаты независимых исследований, посвященных коррупционным рискам при осуществлении закупок;</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 нормативные правовые и иные акты Российской Федерации, в </w:t>
      </w:r>
      <w:r w:rsidRPr="008B7B80">
        <w:rPr>
          <w:rFonts w:ascii="Times New Roman" w:hAnsi="Times New Roman" w:cs="Times New Roman"/>
          <w:sz w:val="28"/>
          <w:szCs w:val="28"/>
        </w:rPr>
        <w:lastRenderedPageBreak/>
        <w:t>частности, о закупочной деятельности;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обращения граждан и организаций, содержащие информацию о коррупционных правонарушениях при осуществлении закупок;</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сообщения, в том числе о коррупционных правонарушениях, в средствах массовой информации и в информационно-телекоммуникационной сети "Интернет";</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 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w:t>
      </w:r>
      <w:proofErr w:type="gramStart"/>
      <w:r w:rsidRPr="008B7B80">
        <w:rPr>
          <w:rFonts w:ascii="Times New Roman" w:hAnsi="Times New Roman" w:cs="Times New Roman"/>
          <w:sz w:val="28"/>
          <w:szCs w:val="28"/>
        </w:rPr>
        <w:t>органами местного самоуправления</w:t>
      </w:r>
      <w:proofErr w:type="gramEnd"/>
      <w:r w:rsidRPr="008B7B80">
        <w:rPr>
          <w:rFonts w:ascii="Times New Roman" w:hAnsi="Times New Roman" w:cs="Times New Roman"/>
          <w:sz w:val="28"/>
          <w:szCs w:val="28"/>
        </w:rPr>
        <w:t xml:space="preserve"> и их должностными лицами, включая акты прокурорского реагирования, и др.;</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обзоры типовых нарушений, совершаемых при осуществлении закупок;</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иные применимые материалы.</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Title"/>
        <w:ind w:firstLine="540"/>
        <w:contextualSpacing/>
        <w:jc w:val="both"/>
        <w:outlineLvl w:val="2"/>
        <w:rPr>
          <w:rFonts w:ascii="Times New Roman" w:hAnsi="Times New Roman" w:cs="Times New Roman"/>
          <w:sz w:val="28"/>
          <w:szCs w:val="28"/>
        </w:rPr>
      </w:pPr>
      <w:r w:rsidRPr="008B7B80">
        <w:rPr>
          <w:rFonts w:ascii="Times New Roman" w:hAnsi="Times New Roman" w:cs="Times New Roman"/>
          <w:sz w:val="28"/>
          <w:szCs w:val="28"/>
        </w:rPr>
        <w:t>Описание процедуры осуществления закупки в органе (организации)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3.7. 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и того, что происходит на практике ("в жизни").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3.8. Основная задача данного этапа - понять, каким образом в органе (организации) фактически происходит осуществление закупки.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Для реализации данной задачи рекомендуется проанализировать информацию, указанную в </w:t>
      </w:r>
      <w:hyperlink w:anchor="P97" w:history="1">
        <w:r w:rsidRPr="008B7B80">
          <w:rPr>
            <w:rFonts w:ascii="Times New Roman" w:hAnsi="Times New Roman" w:cs="Times New Roman"/>
            <w:color w:val="0000FF"/>
            <w:sz w:val="28"/>
            <w:szCs w:val="28"/>
          </w:rPr>
          <w:t>пункте 3.6</w:t>
        </w:r>
      </w:hyperlink>
      <w:r w:rsidRPr="008B7B80">
        <w:rPr>
          <w:rFonts w:ascii="Times New Roman" w:hAnsi="Times New Roman" w:cs="Times New Roman"/>
          <w:sz w:val="28"/>
          <w:szCs w:val="28"/>
        </w:rPr>
        <w:t xml:space="preserve"> настоящих Методических рекомендаций, и иную применимую и находящуюся в распоряжении органа (организации) информацию.</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bookmarkStart w:id="2" w:name="P125"/>
      <w:bookmarkEnd w:id="2"/>
      <w:r w:rsidRPr="008B7B80">
        <w:rPr>
          <w:rFonts w:ascii="Times New Roman" w:hAnsi="Times New Roman" w:cs="Times New Roman"/>
          <w:sz w:val="28"/>
          <w:szCs w:val="28"/>
        </w:rPr>
        <w:t>3.9. По результатам анализа целесообразно представить процедуру осуществления закупки в органе (организации) в качестве блок-схемы.</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Для целей качественного анализа процедуры осуществления закупки в блок-схеме рекомендуется использовать разные функциональные элементы. Примеры наиболее часто встречающихся функциональных элементов представлены в </w:t>
      </w:r>
      <w:hyperlink w:anchor="P350" w:history="1">
        <w:r w:rsidRPr="008B7B80">
          <w:rPr>
            <w:rFonts w:ascii="Times New Roman" w:hAnsi="Times New Roman" w:cs="Times New Roman"/>
            <w:color w:val="0000FF"/>
            <w:sz w:val="28"/>
            <w:szCs w:val="28"/>
          </w:rPr>
          <w:t>Приложении N 1</w:t>
        </w:r>
      </w:hyperlink>
      <w:r w:rsidRPr="008B7B80">
        <w:rPr>
          <w:rFonts w:ascii="Times New Roman" w:hAnsi="Times New Roman" w:cs="Times New Roman"/>
          <w:sz w:val="28"/>
          <w:szCs w:val="28"/>
        </w:rPr>
        <w:t xml:space="preserve"> к настоящим Методическим рекомендациям.</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3.10. При подготовке рассматриваемой блок-схемы целесообразно организовать ее обсуждение, в частности, со структурными подразделениями органа (организации), участвующими в осуществлении закупки.</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Title"/>
        <w:ind w:firstLine="540"/>
        <w:contextualSpacing/>
        <w:jc w:val="both"/>
        <w:outlineLvl w:val="2"/>
        <w:rPr>
          <w:rFonts w:ascii="Times New Roman" w:hAnsi="Times New Roman" w:cs="Times New Roman"/>
          <w:sz w:val="28"/>
          <w:szCs w:val="28"/>
        </w:rPr>
      </w:pPr>
      <w:r w:rsidRPr="008B7B80">
        <w:rPr>
          <w:rFonts w:ascii="Times New Roman" w:hAnsi="Times New Roman" w:cs="Times New Roman"/>
          <w:sz w:val="28"/>
          <w:szCs w:val="28"/>
        </w:rPr>
        <w:t>Идентификация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3.11. По результатам описания процедуры осуществления закупки, в том </w:t>
      </w:r>
      <w:r w:rsidRPr="008B7B80">
        <w:rPr>
          <w:rFonts w:ascii="Times New Roman" w:hAnsi="Times New Roman" w:cs="Times New Roman"/>
          <w:sz w:val="28"/>
          <w:szCs w:val="28"/>
        </w:rPr>
        <w:lastRenderedPageBreak/>
        <w:t xml:space="preserve">числе в качестве блок-схемы, рекомендуется провести идентификацию коррупционных рисков на основании имеющейся в распоряжении органа (организации) информации, указанной в </w:t>
      </w:r>
      <w:hyperlink w:anchor="P97" w:history="1">
        <w:r w:rsidRPr="008B7B80">
          <w:rPr>
            <w:rFonts w:ascii="Times New Roman" w:hAnsi="Times New Roman" w:cs="Times New Roman"/>
            <w:color w:val="0000FF"/>
            <w:sz w:val="28"/>
            <w:szCs w:val="28"/>
          </w:rPr>
          <w:t>пункте 3.6</w:t>
        </w:r>
      </w:hyperlink>
      <w:r w:rsidRPr="008B7B80">
        <w:rPr>
          <w:rFonts w:ascii="Times New Roman" w:hAnsi="Times New Roman" w:cs="Times New Roman"/>
          <w:sz w:val="28"/>
          <w:szCs w:val="28"/>
        </w:rPr>
        <w:t xml:space="preserve"> настоящих Методических рекомендаций.</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3.12. Признаками наличия коррупционного риска при осуществлении закупок может являться наличие у служащего (работника):</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 дискреционных полномочий, в том числе при подготовке документации, необходимой для осуществления закупки и заключения и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17" w:history="1">
        <w:r w:rsidRPr="008B7B80">
          <w:rPr>
            <w:rFonts w:ascii="Times New Roman" w:hAnsi="Times New Roman" w:cs="Times New Roman"/>
            <w:color w:val="0000FF"/>
            <w:sz w:val="28"/>
            <w:szCs w:val="28"/>
          </w:rPr>
          <w:t>частями 1</w:t>
        </w:r>
      </w:hyperlink>
      <w:r w:rsidRPr="008B7B80">
        <w:rPr>
          <w:rFonts w:ascii="Times New Roman" w:hAnsi="Times New Roman" w:cs="Times New Roman"/>
          <w:sz w:val="28"/>
          <w:szCs w:val="28"/>
        </w:rPr>
        <w:t xml:space="preserve">, </w:t>
      </w:r>
      <w:hyperlink r:id="rId18" w:history="1">
        <w:r w:rsidRPr="008B7B80">
          <w:rPr>
            <w:rFonts w:ascii="Times New Roman" w:hAnsi="Times New Roman" w:cs="Times New Roman"/>
            <w:color w:val="0000FF"/>
            <w:sz w:val="28"/>
            <w:szCs w:val="28"/>
          </w:rPr>
          <w:t>2.1</w:t>
        </w:r>
      </w:hyperlink>
      <w:r w:rsidRPr="008B7B80">
        <w:rPr>
          <w:rFonts w:ascii="Times New Roman" w:hAnsi="Times New Roman" w:cs="Times New Roman"/>
          <w:sz w:val="28"/>
          <w:szCs w:val="28"/>
        </w:rPr>
        <w:t xml:space="preserve">, </w:t>
      </w:r>
      <w:hyperlink r:id="rId19" w:history="1">
        <w:r w:rsidRPr="008B7B80">
          <w:rPr>
            <w:rFonts w:ascii="Times New Roman" w:hAnsi="Times New Roman" w:cs="Times New Roman"/>
            <w:color w:val="0000FF"/>
            <w:sz w:val="28"/>
            <w:szCs w:val="28"/>
          </w:rPr>
          <w:t>4</w:t>
        </w:r>
      </w:hyperlink>
      <w:r w:rsidRPr="008B7B80">
        <w:rPr>
          <w:rFonts w:ascii="Times New Roman" w:hAnsi="Times New Roman" w:cs="Times New Roman"/>
          <w:sz w:val="28"/>
          <w:szCs w:val="28"/>
        </w:rPr>
        <w:t xml:space="preserve"> и </w:t>
      </w:r>
      <w:hyperlink r:id="rId20" w:history="1">
        <w:r w:rsidRPr="008B7B80">
          <w:rPr>
            <w:rFonts w:ascii="Times New Roman" w:hAnsi="Times New Roman" w:cs="Times New Roman"/>
            <w:color w:val="0000FF"/>
            <w:sz w:val="28"/>
            <w:szCs w:val="28"/>
          </w:rPr>
          <w:t>5 статьи 15</w:t>
        </w:r>
      </w:hyperlink>
      <w:r w:rsidRPr="008B7B80">
        <w:rPr>
          <w:rFonts w:ascii="Times New Roman" w:hAnsi="Times New Roman" w:cs="Times New Roman"/>
          <w:sz w:val="28"/>
          <w:szCs w:val="28"/>
        </w:rPr>
        <w:t xml:space="preserve"> Федерального закона N 44-ФЗ (далее - контракт);</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возможности взаимодействия с потенциальными участниками закупки (то есть потенциальными поставщиками (подрядчиками, исполнителями)).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3.13. Для целей выявления коррупционных рисков, возникающих при осуществлении закупок, могут быть использованы различные методы, среди которых можно выделить следующие:</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анкетирование;</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экспертное обсуждение;</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иные методы.</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Выбор конкретного метода рекомендуется обосновывать фактическими обстоятельствами, сложившимися в органе (организации).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3.14. Одновременно для идентификации коррупционных рисков могут быть использованы ответы на следующие вопросы:</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кто может быть заинтересован в коррупционном правонарушении?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какие коррупционные правонарушения могут быть совершены на рассматриваемом этапе осуществления закупки?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в чем заключается взаимосвязь возможного коррупционного правонарушения и возможных к получению выгод?</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3.15. На каждом этапе осуществления закупки может быть выявлено несколько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3.16. По результатам идентификации коррупционных рисков их целесообразно перенести на блок-схему, подготовленную в соответствии с </w:t>
      </w:r>
      <w:hyperlink w:anchor="P125" w:history="1">
        <w:r w:rsidRPr="008B7B80">
          <w:rPr>
            <w:rFonts w:ascii="Times New Roman" w:hAnsi="Times New Roman" w:cs="Times New Roman"/>
            <w:color w:val="0000FF"/>
            <w:sz w:val="28"/>
            <w:szCs w:val="28"/>
          </w:rPr>
          <w:t>пунктом 3.9</w:t>
        </w:r>
      </w:hyperlink>
      <w:r w:rsidRPr="008B7B80">
        <w:rPr>
          <w:rFonts w:ascii="Times New Roman" w:hAnsi="Times New Roman" w:cs="Times New Roman"/>
          <w:sz w:val="28"/>
          <w:szCs w:val="28"/>
        </w:rPr>
        <w:t xml:space="preserve"> настоящих Методических рекомендаций.</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Title"/>
        <w:ind w:firstLine="540"/>
        <w:contextualSpacing/>
        <w:jc w:val="both"/>
        <w:outlineLvl w:val="2"/>
        <w:rPr>
          <w:rFonts w:ascii="Times New Roman" w:hAnsi="Times New Roman" w:cs="Times New Roman"/>
          <w:sz w:val="28"/>
          <w:szCs w:val="28"/>
        </w:rPr>
      </w:pPr>
      <w:r w:rsidRPr="008B7B80">
        <w:rPr>
          <w:rFonts w:ascii="Times New Roman" w:hAnsi="Times New Roman" w:cs="Times New Roman"/>
          <w:sz w:val="28"/>
          <w:szCs w:val="28"/>
        </w:rPr>
        <w:t>Анализ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3.17. По результатам идентификации коррупционных рисков рекомендуется описать коррупционное правонарушение с точки зрения ее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w:t>
      </w:r>
      <w:r w:rsidRPr="008B7B80">
        <w:rPr>
          <w:rFonts w:ascii="Times New Roman" w:hAnsi="Times New Roman" w:cs="Times New Roman"/>
          <w:sz w:val="28"/>
          <w:szCs w:val="28"/>
        </w:rPr>
        <w:lastRenderedPageBreak/>
        <w:t>коррупционной схемы, но и присущим ей индикаторам коррупции.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3.18. Для проведения указанной работы могут быть использованы ответы на следующие вопросы:</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какие действия (бездействие) приведут к получению неправомерной выгоды в связи с осуществлением закупки?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каким образом потенциально возможно извлечь неправомерную выгоду?</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кто рискует быть вовлечен в коррупционную схему?</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каким образом возможно обойти механизмы внутреннего (внешнего) контроля?</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3.19. При описании коррупционной схемы целесообразно описать следующие аспекты:</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какая выгода может быть неправомерно получена;</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кто может быть заинтересован в получении неправомерной выгоды при осуществлении закупки;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перечень служащих (работников) организации, участие которых позволит реализовать коррупционную схему;</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описание потенциально возможных способов получения неправомерной выгоды;</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краткое и развернутое описание коррупционной схемы;</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состав коррупционных правонарушений, совершаемых в рамках рассматриваемой коррупционной схемы;</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существующие механизмы внутреннего (внешнего) контроля и способы их обхода;</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иные применимые аспекты.</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3.20. При этом стоит разграничивать коррупционные риски и коррупционные схемы от фактов необоснованных закупок, влекущих негативные последствия для органа (организации), в том числе в виде экономического ущерба.</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3.21. При анализе коррупционных рисков процедуру осуществления закупки можно разделить на следующие основные этапы:</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пред-процедурный этап (предусматривающий в том числе процедурные основы осуществления закупок; планирование закупок; подготовку иной документации для осуществления закупки);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процедурный этап (определение поставщика (подрядчика, исполнителя));</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пост-процедурный этап (исполнение, изменение, расторжение контракта).</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3.22. При анализе коррупционных рисков на пред-процедурном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w:t>
      </w:r>
      <w:r w:rsidRPr="008B7B80">
        <w:rPr>
          <w:rFonts w:ascii="Times New Roman" w:hAnsi="Times New Roman" w:cs="Times New Roman"/>
          <w:sz w:val="28"/>
          <w:szCs w:val="28"/>
        </w:rPr>
        <w:lastRenderedPageBreak/>
        <w:t>совершение коррупционных правонарушений.</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Одновременно подразделению по профилактике коррупционных правонарушений 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органа (организации)).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Подразделению по профилактике коррупционных правонарушений также может быть рекомендовано оценить документацию, подготавливаемую для целей осуществления закупки, через призму возможной </w:t>
      </w:r>
      <w:proofErr w:type="spellStart"/>
      <w:r w:rsidRPr="008B7B80">
        <w:rPr>
          <w:rFonts w:ascii="Times New Roman" w:hAnsi="Times New Roman" w:cs="Times New Roman"/>
          <w:sz w:val="28"/>
          <w:szCs w:val="28"/>
        </w:rPr>
        <w:t>аффилированности</w:t>
      </w:r>
      <w:proofErr w:type="spellEnd"/>
      <w:r w:rsidRPr="008B7B80">
        <w:rPr>
          <w:rFonts w:ascii="Times New Roman" w:hAnsi="Times New Roman" w:cs="Times New Roman"/>
          <w:sz w:val="28"/>
          <w:szCs w:val="28"/>
        </w:rPr>
        <w:t xml:space="preserve"> с потенциальными участниками закупки.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Стоит учитывать также избыточное количество сложных для восприятия формулировок, которые могут использоваться для:</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сокрытия коррупционных правонарушений;</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ограничения возможности осуществления контрольных (мониторинговых) мероприятий;</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необоснованного объединения (дробления) лотов;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ограничения потенциального количества участников закупок и т.д.</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3.23. На процедурном этапе подразделению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Кроме того, необходимо проанализировать процесс через призму опасности передачи служебной информации потенциальным участникам закупки, аффилированным с отдельными служащими (работниками).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3.24. При анализе пост-процедурного этапа необходимо обращать внимание на существенное изменение условий контракта, а также на аспекты, связанные с:</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оплатой заказчиком поставленного товара, выполненной работы (ее результатов), оказанной услуги, а также отдельных этапов исполнения контракта;</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 взаимодействием заказчика с поставщиком (подрядчиком, исполнителем) при изменении, расторжении контракта в соответствии со </w:t>
      </w:r>
      <w:hyperlink r:id="rId21" w:history="1">
        <w:r w:rsidRPr="008B7B80">
          <w:rPr>
            <w:rFonts w:ascii="Times New Roman" w:hAnsi="Times New Roman" w:cs="Times New Roman"/>
            <w:color w:val="0000FF"/>
            <w:sz w:val="28"/>
            <w:szCs w:val="28"/>
          </w:rPr>
          <w:t>статьей 95</w:t>
        </w:r>
      </w:hyperlink>
      <w:r w:rsidRPr="008B7B80">
        <w:rPr>
          <w:rFonts w:ascii="Times New Roman" w:hAnsi="Times New Roman" w:cs="Times New Roman"/>
          <w:sz w:val="28"/>
          <w:szCs w:val="28"/>
        </w:rPr>
        <w:t xml:space="preserve"> Федерального закона N 44-ФЗ, применении мер ответственности и совершении иных действий в случае нарушения поставщиком (подрядчиком, </w:t>
      </w:r>
      <w:r w:rsidRPr="008B7B80">
        <w:rPr>
          <w:rFonts w:ascii="Times New Roman" w:hAnsi="Times New Roman" w:cs="Times New Roman"/>
          <w:sz w:val="28"/>
          <w:szCs w:val="28"/>
        </w:rPr>
        <w:lastRenderedPageBreak/>
        <w:t>исполнителем) или заказчиком условий контракта.</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3.25. Индикаторы коррупции не позволяют однозначно говорить о коррупционном правонарушении как свершившемся факте. Даже в условиях большого количества индикаторов коррупции закупка может быть честной, законной.</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3.26. Возможные индикаторы коррупции &lt;5&gt;:</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&lt;5&gt;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незначительное количество участников закупки;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существенное количество неконкурентных способов осуществления закупки, то есть в форме закупки у единственного поставщика (подрядчика, исполнителя);</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в качестве поставщика (подрядчика, исполнителя) выступает одно и то же физическое (юридическое) лицо;</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"регулярные" участники закупки не принимают участие в конкретной закупке;</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участники закупки "неожиданно" отзывают свои заявки;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в качестве субподрядчиков привлекаются участники закупки, не определенные в качестве поставщика (подрядчика, исполнителя);</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участниками закупки являются юридические лица, обладающие следующими признаками: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создание по адресу "массовой" регистрации;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незначительный (минимальный) размер уставного капитала;</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отсутствие на праве собственности или ином законном основании оборудования и других материальных ресурсов для исполнения контракта;</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недавняя регистрация организации (за несколько недель или месяцев до даты объявления торгов);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отсутствие необходимого количества специалистов требуемого уровня квалификации для исполнения контракта;</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отсутствие непосредственных контактов с контрагентами;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отсутствие в штатном расписании организации лица, отвечающего за бухгалтерский учет (главного бухгалтера);</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договоры с контрагентом содержат условия, которые не характерны для обычной практики, и т.д.;</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в целях создания видимости конкуренции участниками закупки являются физические (юридические) лица, которые объективно не в состоянии исполнить потенциальный контракт &lt;6&gt;, и т.д.</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&lt;6&gt; Информация об участниках закупки, применимая для целей настоящих Методических рекомендаций, может быть также получена из информационно-телекоммуникационной сети "Интернет", например, </w:t>
      </w:r>
      <w:r w:rsidRPr="008B7B80">
        <w:rPr>
          <w:rFonts w:ascii="Times New Roman" w:hAnsi="Times New Roman" w:cs="Times New Roman"/>
          <w:sz w:val="28"/>
          <w:szCs w:val="28"/>
        </w:rPr>
        <w:lastRenderedPageBreak/>
        <w:t xml:space="preserve">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w:t>
      </w:r>
      <w:proofErr w:type="spellStart"/>
      <w:r w:rsidRPr="008B7B80">
        <w:rPr>
          <w:rFonts w:ascii="Times New Roman" w:hAnsi="Times New Roman" w:cs="Times New Roman"/>
          <w:sz w:val="28"/>
          <w:szCs w:val="28"/>
        </w:rPr>
        <w:t>агрегаторов</w:t>
      </w:r>
      <w:proofErr w:type="spellEnd"/>
      <w:r w:rsidRPr="008B7B80">
        <w:rPr>
          <w:rFonts w:ascii="Times New Roman" w:hAnsi="Times New Roman" w:cs="Times New Roman"/>
          <w:sz w:val="28"/>
          <w:szCs w:val="28"/>
        </w:rPr>
        <w:t xml:space="preserve"> информации.</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Title"/>
        <w:ind w:firstLine="540"/>
        <w:contextualSpacing/>
        <w:jc w:val="both"/>
        <w:outlineLvl w:val="2"/>
        <w:rPr>
          <w:rFonts w:ascii="Times New Roman" w:hAnsi="Times New Roman" w:cs="Times New Roman"/>
          <w:sz w:val="28"/>
          <w:szCs w:val="28"/>
        </w:rPr>
      </w:pPr>
      <w:r w:rsidRPr="008B7B80">
        <w:rPr>
          <w:rFonts w:ascii="Times New Roman" w:hAnsi="Times New Roman" w:cs="Times New Roman"/>
          <w:sz w:val="28"/>
          <w:szCs w:val="28"/>
        </w:rPr>
        <w:t>Ранжирование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3.27. По результатам описания выявленных коррупционных рисков и применимых коррупционных схем рекомендуется провести оценку их значимости.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3.28. Ранжирование коррупционных рисков может осуществляться с использованием различных методов.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При признании целесообразным органом (организацией) может быть использован иной метод ранжирования.</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3.29. 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3.30. Степень выраженности каждого критерия рекомендуется оценить 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"вероятность реализации" и "потенциальный вред" представлены в </w:t>
      </w:r>
      <w:hyperlink w:anchor="P217" w:history="1">
        <w:r w:rsidRPr="008B7B80">
          <w:rPr>
            <w:rFonts w:ascii="Times New Roman" w:hAnsi="Times New Roman" w:cs="Times New Roman"/>
            <w:color w:val="0000FF"/>
            <w:sz w:val="28"/>
            <w:szCs w:val="28"/>
          </w:rPr>
          <w:t>таблице 1</w:t>
        </w:r>
      </w:hyperlink>
      <w:r w:rsidRPr="008B7B80">
        <w:rPr>
          <w:rFonts w:ascii="Times New Roman" w:hAnsi="Times New Roman" w:cs="Times New Roman"/>
          <w:sz w:val="28"/>
          <w:szCs w:val="28"/>
        </w:rPr>
        <w:t xml:space="preserve"> и </w:t>
      </w:r>
      <w:hyperlink w:anchor="P241" w:history="1">
        <w:r w:rsidRPr="008B7B80">
          <w:rPr>
            <w:rFonts w:ascii="Times New Roman" w:hAnsi="Times New Roman" w:cs="Times New Roman"/>
            <w:color w:val="0000FF"/>
            <w:sz w:val="28"/>
            <w:szCs w:val="28"/>
          </w:rPr>
          <w:t>2</w:t>
        </w:r>
      </w:hyperlink>
      <w:r w:rsidRPr="008B7B80">
        <w:rPr>
          <w:rFonts w:ascii="Times New Roman" w:hAnsi="Times New Roman" w:cs="Times New Roman"/>
          <w:sz w:val="28"/>
          <w:szCs w:val="28"/>
        </w:rPr>
        <w:t xml:space="preserve"> соответственно.</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3.31. Обосновывать выбор того или иного количественного показателя рекомендуется на основе объективных данных, которые могут быть закреплены в локальном нормативном акте органа (организации) для целей последующей преемственности процедуры ранжирования и разработки мер по минимизации.</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contextualSpacing/>
        <w:jc w:val="right"/>
        <w:outlineLvl w:val="3"/>
        <w:rPr>
          <w:rFonts w:ascii="Times New Roman" w:hAnsi="Times New Roman" w:cs="Times New Roman"/>
          <w:sz w:val="28"/>
          <w:szCs w:val="28"/>
        </w:rPr>
      </w:pPr>
      <w:r w:rsidRPr="008B7B80">
        <w:rPr>
          <w:rFonts w:ascii="Times New Roman" w:hAnsi="Times New Roman" w:cs="Times New Roman"/>
          <w:sz w:val="28"/>
          <w:szCs w:val="28"/>
        </w:rPr>
        <w:t>Таблица 1.</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Title"/>
        <w:contextualSpacing/>
        <w:jc w:val="center"/>
        <w:rPr>
          <w:rFonts w:ascii="Times New Roman" w:hAnsi="Times New Roman" w:cs="Times New Roman"/>
          <w:sz w:val="28"/>
          <w:szCs w:val="28"/>
        </w:rPr>
      </w:pPr>
      <w:bookmarkStart w:id="3" w:name="P217"/>
      <w:bookmarkEnd w:id="3"/>
      <w:r w:rsidRPr="008B7B80">
        <w:rPr>
          <w:rFonts w:ascii="Times New Roman" w:hAnsi="Times New Roman" w:cs="Times New Roman"/>
          <w:sz w:val="28"/>
          <w:szCs w:val="28"/>
        </w:rPr>
        <w:t>Градация степени выраженности критерия</w:t>
      </w:r>
    </w:p>
    <w:p w:rsidR="008B7B80" w:rsidRPr="008B7B80" w:rsidRDefault="008B7B80" w:rsidP="008B7B80">
      <w:pPr>
        <w:pStyle w:val="ConsPlusTitle"/>
        <w:contextualSpacing/>
        <w:jc w:val="center"/>
        <w:rPr>
          <w:rFonts w:ascii="Times New Roman" w:hAnsi="Times New Roman" w:cs="Times New Roman"/>
          <w:sz w:val="28"/>
          <w:szCs w:val="28"/>
        </w:rPr>
      </w:pPr>
      <w:r w:rsidRPr="008B7B80">
        <w:rPr>
          <w:rFonts w:ascii="Times New Roman" w:hAnsi="Times New Roman" w:cs="Times New Roman"/>
          <w:sz w:val="28"/>
          <w:szCs w:val="28"/>
        </w:rPr>
        <w:t>"вероятность реализации"</w:t>
      </w:r>
    </w:p>
    <w:p w:rsidR="008B7B80" w:rsidRPr="008B7B80" w:rsidRDefault="008B7B80" w:rsidP="008B7B80">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01"/>
        <w:gridCol w:w="5376"/>
      </w:tblGrid>
      <w:tr w:rsidR="008B7B80" w:rsidRPr="008B7B80">
        <w:tc>
          <w:tcPr>
            <w:tcW w:w="1984" w:type="dxa"/>
          </w:tcPr>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Степень выраженности</w:t>
            </w:r>
          </w:p>
        </w:tc>
        <w:tc>
          <w:tcPr>
            <w:tcW w:w="1701" w:type="dxa"/>
          </w:tcPr>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Процентный показатель</w:t>
            </w:r>
          </w:p>
        </w:tc>
        <w:tc>
          <w:tcPr>
            <w:tcW w:w="5376" w:type="dxa"/>
          </w:tcPr>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Описание</w:t>
            </w:r>
          </w:p>
        </w:tc>
      </w:tr>
      <w:tr w:rsidR="008B7B80" w:rsidRPr="008B7B80">
        <w:tc>
          <w:tcPr>
            <w:tcW w:w="1984" w:type="dxa"/>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Очень часто</w:t>
            </w:r>
          </w:p>
        </w:tc>
        <w:tc>
          <w:tcPr>
            <w:tcW w:w="1701" w:type="dxa"/>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Более 75%</w:t>
            </w:r>
          </w:p>
        </w:tc>
        <w:tc>
          <w:tcPr>
            <w:tcW w:w="5376" w:type="dxa"/>
            <w:vAlign w:val="bottom"/>
          </w:tcPr>
          <w:p w:rsidR="008B7B80" w:rsidRPr="008B7B80" w:rsidRDefault="008B7B80" w:rsidP="008B7B80">
            <w:pPr>
              <w:pStyle w:val="ConsPlusNormal"/>
              <w:contextualSpacing/>
              <w:jc w:val="both"/>
              <w:rPr>
                <w:rFonts w:ascii="Times New Roman" w:hAnsi="Times New Roman" w:cs="Times New Roman"/>
                <w:sz w:val="28"/>
                <w:szCs w:val="28"/>
              </w:rPr>
            </w:pPr>
            <w:r w:rsidRPr="008B7B80">
              <w:rPr>
                <w:rFonts w:ascii="Times New Roman" w:hAnsi="Times New Roman" w:cs="Times New Roman"/>
                <w:sz w:val="28"/>
                <w:szCs w:val="28"/>
              </w:rPr>
              <w:t>Сомнения в том, что событие произойдет, практически отсутствуют. В определенных обстоятельствах событие происходит очень часто, что подтверждается аналитическими данными</w:t>
            </w:r>
          </w:p>
        </w:tc>
      </w:tr>
      <w:tr w:rsidR="008B7B80" w:rsidRPr="008B7B80">
        <w:tc>
          <w:tcPr>
            <w:tcW w:w="1984" w:type="dxa"/>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lastRenderedPageBreak/>
              <w:t>Высокая частота</w:t>
            </w:r>
          </w:p>
        </w:tc>
        <w:tc>
          <w:tcPr>
            <w:tcW w:w="1701" w:type="dxa"/>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50% - 75%</w:t>
            </w:r>
          </w:p>
        </w:tc>
        <w:tc>
          <w:tcPr>
            <w:tcW w:w="5376" w:type="dxa"/>
            <w:vAlign w:val="bottom"/>
          </w:tcPr>
          <w:p w:rsidR="008B7B80" w:rsidRPr="008B7B80" w:rsidRDefault="008B7B80" w:rsidP="008B7B80">
            <w:pPr>
              <w:pStyle w:val="ConsPlusNormal"/>
              <w:contextualSpacing/>
              <w:jc w:val="both"/>
              <w:rPr>
                <w:rFonts w:ascii="Times New Roman" w:hAnsi="Times New Roman" w:cs="Times New Roman"/>
                <w:sz w:val="28"/>
                <w:szCs w:val="28"/>
              </w:rPr>
            </w:pPr>
            <w:r w:rsidRPr="008B7B80">
              <w:rPr>
                <w:rFonts w:ascii="Times New Roman" w:hAnsi="Times New Roman" w:cs="Times New Roman"/>
                <w:sz w:val="28"/>
                <w:szCs w:val="28"/>
              </w:rPr>
              <w:t>Событие происходит в большинстве случаев. При определенных обстоятельствах событие является прогнозируемым</w:t>
            </w:r>
          </w:p>
        </w:tc>
      </w:tr>
      <w:tr w:rsidR="008B7B80" w:rsidRPr="008B7B80">
        <w:tc>
          <w:tcPr>
            <w:tcW w:w="1984" w:type="dxa"/>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Средняя частота</w:t>
            </w:r>
          </w:p>
        </w:tc>
        <w:tc>
          <w:tcPr>
            <w:tcW w:w="1701" w:type="dxa"/>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25% - 50%</w:t>
            </w:r>
          </w:p>
        </w:tc>
        <w:tc>
          <w:tcPr>
            <w:tcW w:w="5376" w:type="dxa"/>
            <w:vAlign w:val="bottom"/>
          </w:tcPr>
          <w:p w:rsidR="008B7B80" w:rsidRPr="008B7B80" w:rsidRDefault="008B7B80" w:rsidP="008B7B80">
            <w:pPr>
              <w:pStyle w:val="ConsPlusNormal"/>
              <w:contextualSpacing/>
              <w:jc w:val="both"/>
              <w:rPr>
                <w:rFonts w:ascii="Times New Roman" w:hAnsi="Times New Roman" w:cs="Times New Roman"/>
                <w:sz w:val="28"/>
                <w:szCs w:val="28"/>
              </w:rPr>
            </w:pPr>
            <w:r w:rsidRPr="008B7B80">
              <w:rPr>
                <w:rFonts w:ascii="Times New Roman" w:hAnsi="Times New Roman" w:cs="Times New Roman"/>
                <w:sz w:val="28"/>
                <w:szCs w:val="28"/>
              </w:rPr>
              <w:t>Событие происходит редко, но является наблюдаемым</w:t>
            </w:r>
          </w:p>
        </w:tc>
      </w:tr>
      <w:tr w:rsidR="008B7B80" w:rsidRPr="008B7B80">
        <w:tc>
          <w:tcPr>
            <w:tcW w:w="1984" w:type="dxa"/>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Низкая частота</w:t>
            </w:r>
          </w:p>
        </w:tc>
        <w:tc>
          <w:tcPr>
            <w:tcW w:w="1701" w:type="dxa"/>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5% - 25%</w:t>
            </w:r>
          </w:p>
        </w:tc>
        <w:tc>
          <w:tcPr>
            <w:tcW w:w="5376" w:type="dxa"/>
            <w:vAlign w:val="bottom"/>
          </w:tcPr>
          <w:p w:rsidR="008B7B80" w:rsidRPr="008B7B80" w:rsidRDefault="008B7B80" w:rsidP="008B7B80">
            <w:pPr>
              <w:pStyle w:val="ConsPlusNormal"/>
              <w:contextualSpacing/>
              <w:jc w:val="both"/>
              <w:rPr>
                <w:rFonts w:ascii="Times New Roman" w:hAnsi="Times New Roman" w:cs="Times New Roman"/>
                <w:sz w:val="28"/>
                <w:szCs w:val="28"/>
              </w:rPr>
            </w:pPr>
            <w:r w:rsidRPr="008B7B80">
              <w:rPr>
                <w:rFonts w:ascii="Times New Roman" w:hAnsi="Times New Roman" w:cs="Times New Roman"/>
                <w:sz w:val="28"/>
                <w:szCs w:val="28"/>
              </w:rPr>
              <w:t>Наступление события не ожидается, хотя в целом оно возможно</w:t>
            </w:r>
          </w:p>
        </w:tc>
      </w:tr>
      <w:tr w:rsidR="008B7B80" w:rsidRPr="008B7B80">
        <w:tc>
          <w:tcPr>
            <w:tcW w:w="1984" w:type="dxa"/>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Очень редко</w:t>
            </w:r>
          </w:p>
        </w:tc>
        <w:tc>
          <w:tcPr>
            <w:tcW w:w="1701" w:type="dxa"/>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Менее 5%</w:t>
            </w:r>
          </w:p>
        </w:tc>
        <w:tc>
          <w:tcPr>
            <w:tcW w:w="5376" w:type="dxa"/>
          </w:tcPr>
          <w:p w:rsidR="008B7B80" w:rsidRPr="008B7B80" w:rsidRDefault="008B7B80" w:rsidP="008B7B80">
            <w:pPr>
              <w:pStyle w:val="ConsPlusNormal"/>
              <w:contextualSpacing/>
              <w:jc w:val="both"/>
              <w:rPr>
                <w:rFonts w:ascii="Times New Roman" w:hAnsi="Times New Roman" w:cs="Times New Roman"/>
                <w:sz w:val="28"/>
                <w:szCs w:val="28"/>
              </w:rPr>
            </w:pPr>
            <w:r w:rsidRPr="008B7B80">
              <w:rPr>
                <w:rFonts w:ascii="Times New Roman" w:hAnsi="Times New Roman" w:cs="Times New Roman"/>
                <w:sz w:val="28"/>
                <w:szCs w:val="28"/>
              </w:rPr>
              <w:t>Крайне маловероятно, что событие произойдет, ретроспективный анализ не содержит фактов подобного события (либо случаи единичны), событие происходит исключительно при определенных сложно достижимых обстоятельствах</w:t>
            </w:r>
          </w:p>
        </w:tc>
      </w:tr>
    </w:tbl>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contextualSpacing/>
        <w:jc w:val="right"/>
        <w:outlineLvl w:val="3"/>
        <w:rPr>
          <w:rFonts w:ascii="Times New Roman" w:hAnsi="Times New Roman" w:cs="Times New Roman"/>
          <w:sz w:val="28"/>
          <w:szCs w:val="28"/>
        </w:rPr>
      </w:pPr>
      <w:r w:rsidRPr="008B7B80">
        <w:rPr>
          <w:rFonts w:ascii="Times New Roman" w:hAnsi="Times New Roman" w:cs="Times New Roman"/>
          <w:sz w:val="28"/>
          <w:szCs w:val="28"/>
        </w:rPr>
        <w:t>Таблица 2.</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Title"/>
        <w:contextualSpacing/>
        <w:jc w:val="center"/>
        <w:rPr>
          <w:rFonts w:ascii="Times New Roman" w:hAnsi="Times New Roman" w:cs="Times New Roman"/>
          <w:sz w:val="28"/>
          <w:szCs w:val="28"/>
        </w:rPr>
      </w:pPr>
      <w:bookmarkStart w:id="4" w:name="P241"/>
      <w:bookmarkEnd w:id="4"/>
      <w:r w:rsidRPr="008B7B80">
        <w:rPr>
          <w:rFonts w:ascii="Times New Roman" w:hAnsi="Times New Roman" w:cs="Times New Roman"/>
          <w:sz w:val="28"/>
          <w:szCs w:val="28"/>
        </w:rPr>
        <w:t>Градация степени выраженности критерия</w:t>
      </w:r>
    </w:p>
    <w:p w:rsidR="008B7B80" w:rsidRPr="008B7B80" w:rsidRDefault="008B7B80" w:rsidP="008B7B80">
      <w:pPr>
        <w:pStyle w:val="ConsPlusTitle"/>
        <w:contextualSpacing/>
        <w:jc w:val="center"/>
        <w:rPr>
          <w:rFonts w:ascii="Times New Roman" w:hAnsi="Times New Roman" w:cs="Times New Roman"/>
          <w:sz w:val="28"/>
          <w:szCs w:val="28"/>
        </w:rPr>
      </w:pPr>
      <w:r w:rsidRPr="008B7B80">
        <w:rPr>
          <w:rFonts w:ascii="Times New Roman" w:hAnsi="Times New Roman" w:cs="Times New Roman"/>
          <w:sz w:val="28"/>
          <w:szCs w:val="28"/>
        </w:rPr>
        <w:t>"потенциальный вред"</w:t>
      </w:r>
    </w:p>
    <w:p w:rsidR="008B7B80" w:rsidRPr="008B7B80" w:rsidRDefault="008B7B80" w:rsidP="008B7B80">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8B7B80" w:rsidRPr="008B7B80">
        <w:tc>
          <w:tcPr>
            <w:tcW w:w="1984" w:type="dxa"/>
            <w:vAlign w:val="bottom"/>
          </w:tcPr>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Степень выраженности</w:t>
            </w:r>
          </w:p>
        </w:tc>
        <w:tc>
          <w:tcPr>
            <w:tcW w:w="7087" w:type="dxa"/>
          </w:tcPr>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 xml:space="preserve">Описание </w:t>
            </w:r>
            <w:hyperlink w:anchor="P258" w:history="1">
              <w:r w:rsidRPr="008B7B80">
                <w:rPr>
                  <w:rFonts w:ascii="Times New Roman" w:hAnsi="Times New Roman" w:cs="Times New Roman"/>
                  <w:color w:val="0000FF"/>
                  <w:sz w:val="28"/>
                  <w:szCs w:val="28"/>
                </w:rPr>
                <w:t>&lt;7&gt;</w:t>
              </w:r>
            </w:hyperlink>
          </w:p>
        </w:tc>
      </w:tr>
      <w:tr w:rsidR="008B7B80" w:rsidRPr="008B7B80">
        <w:tc>
          <w:tcPr>
            <w:tcW w:w="1984" w:type="dxa"/>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Очень тяжелый</w:t>
            </w:r>
          </w:p>
        </w:tc>
        <w:tc>
          <w:tcPr>
            <w:tcW w:w="7087" w:type="dxa"/>
            <w:vAlign w:val="bottom"/>
          </w:tcPr>
          <w:p w:rsidR="008B7B80" w:rsidRPr="008B7B80" w:rsidRDefault="008B7B80" w:rsidP="008B7B80">
            <w:pPr>
              <w:pStyle w:val="ConsPlusNormal"/>
              <w:contextualSpacing/>
              <w:jc w:val="both"/>
              <w:rPr>
                <w:rFonts w:ascii="Times New Roman" w:hAnsi="Times New Roman" w:cs="Times New Roman"/>
                <w:sz w:val="28"/>
                <w:szCs w:val="28"/>
              </w:rPr>
            </w:pPr>
            <w:r w:rsidRPr="008B7B80">
              <w:rPr>
                <w:rFonts w:ascii="Times New Roman" w:hAnsi="Times New Roman" w:cs="Times New Roman"/>
                <w:sz w:val="28"/>
                <w:szCs w:val="28"/>
              </w:rPr>
              <w:t>Реализация коррупционного риска приведет к существенным потерям, в том числе охраняемым законом ценностям, и нарушению закупочной процедуры</w:t>
            </w:r>
          </w:p>
        </w:tc>
      </w:tr>
      <w:tr w:rsidR="008B7B80" w:rsidRPr="008B7B80">
        <w:tc>
          <w:tcPr>
            <w:tcW w:w="1984" w:type="dxa"/>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Значительный</w:t>
            </w:r>
          </w:p>
        </w:tc>
        <w:tc>
          <w:tcPr>
            <w:tcW w:w="7087" w:type="dxa"/>
            <w:vAlign w:val="bottom"/>
          </w:tcPr>
          <w:p w:rsidR="008B7B80" w:rsidRPr="008B7B80" w:rsidRDefault="008B7B80" w:rsidP="008B7B80">
            <w:pPr>
              <w:pStyle w:val="ConsPlusNormal"/>
              <w:contextualSpacing/>
              <w:jc w:val="both"/>
              <w:rPr>
                <w:rFonts w:ascii="Times New Roman" w:hAnsi="Times New Roman" w:cs="Times New Roman"/>
                <w:sz w:val="28"/>
                <w:szCs w:val="28"/>
              </w:rPr>
            </w:pPr>
            <w:r w:rsidRPr="008B7B80">
              <w:rPr>
                <w:rFonts w:ascii="Times New Roman" w:hAnsi="Times New Roman" w:cs="Times New Roman"/>
                <w:sz w:val="28"/>
                <w:szCs w:val="28"/>
              </w:rPr>
              <w:t>Реализация коррупционного риска приведет к значительным потерям и нарушению закупочной процедуры</w:t>
            </w:r>
          </w:p>
        </w:tc>
      </w:tr>
      <w:tr w:rsidR="008B7B80" w:rsidRPr="008B7B80">
        <w:tc>
          <w:tcPr>
            <w:tcW w:w="1984" w:type="dxa"/>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Средней тяжести</w:t>
            </w:r>
          </w:p>
        </w:tc>
        <w:tc>
          <w:tcPr>
            <w:tcW w:w="7087" w:type="dxa"/>
            <w:vAlign w:val="bottom"/>
          </w:tcPr>
          <w:p w:rsidR="008B7B80" w:rsidRPr="008B7B80" w:rsidRDefault="008B7B80" w:rsidP="008B7B80">
            <w:pPr>
              <w:pStyle w:val="ConsPlusNormal"/>
              <w:contextualSpacing/>
              <w:jc w:val="both"/>
              <w:rPr>
                <w:rFonts w:ascii="Times New Roman" w:hAnsi="Times New Roman" w:cs="Times New Roman"/>
                <w:sz w:val="28"/>
                <w:szCs w:val="28"/>
              </w:rPr>
            </w:pPr>
            <w:r w:rsidRPr="008B7B80">
              <w:rPr>
                <w:rFonts w:ascii="Times New Roman" w:hAnsi="Times New Roman" w:cs="Times New Roman"/>
                <w:sz w:val="28"/>
                <w:szCs w:val="28"/>
              </w:rPr>
              <w:t>Риск, который, если не будет пресечен, может привести к ощутимым потерям и нарушению закупочной процедуры</w:t>
            </w:r>
          </w:p>
        </w:tc>
      </w:tr>
      <w:tr w:rsidR="008B7B80" w:rsidRPr="008B7B80">
        <w:tc>
          <w:tcPr>
            <w:tcW w:w="1984" w:type="dxa"/>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Легкий</w:t>
            </w:r>
          </w:p>
        </w:tc>
        <w:tc>
          <w:tcPr>
            <w:tcW w:w="7087" w:type="dxa"/>
            <w:vAlign w:val="bottom"/>
          </w:tcPr>
          <w:p w:rsidR="008B7B80" w:rsidRPr="008B7B80" w:rsidRDefault="008B7B80" w:rsidP="008B7B80">
            <w:pPr>
              <w:pStyle w:val="ConsPlusNormal"/>
              <w:contextualSpacing/>
              <w:jc w:val="both"/>
              <w:rPr>
                <w:rFonts w:ascii="Times New Roman" w:hAnsi="Times New Roman" w:cs="Times New Roman"/>
                <w:sz w:val="28"/>
                <w:szCs w:val="28"/>
              </w:rPr>
            </w:pPr>
            <w:r w:rsidRPr="008B7B80">
              <w:rPr>
                <w:rFonts w:ascii="Times New Roman" w:hAnsi="Times New Roman" w:cs="Times New Roman"/>
                <w:sz w:val="28"/>
                <w:szCs w:val="28"/>
              </w:rPr>
              <w:t>Риск незначительно влияет на закупочную процедуру, существенного нарушения закупочной процедуры не наблюдается</w:t>
            </w:r>
          </w:p>
        </w:tc>
      </w:tr>
      <w:tr w:rsidR="008B7B80" w:rsidRPr="008B7B80">
        <w:tc>
          <w:tcPr>
            <w:tcW w:w="1984" w:type="dxa"/>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Очень легкий</w:t>
            </w:r>
          </w:p>
        </w:tc>
        <w:tc>
          <w:tcPr>
            <w:tcW w:w="7087" w:type="dxa"/>
            <w:vAlign w:val="bottom"/>
          </w:tcPr>
          <w:p w:rsidR="008B7B80" w:rsidRPr="008B7B80" w:rsidRDefault="008B7B80" w:rsidP="008B7B80">
            <w:pPr>
              <w:pStyle w:val="ConsPlusNormal"/>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Потенциальный вред от коррупционного риска крайне незначительный и может быть </w:t>
            </w:r>
            <w:proofErr w:type="spellStart"/>
            <w:r w:rsidRPr="008B7B80">
              <w:rPr>
                <w:rFonts w:ascii="Times New Roman" w:hAnsi="Times New Roman" w:cs="Times New Roman"/>
                <w:sz w:val="28"/>
                <w:szCs w:val="28"/>
              </w:rPr>
              <w:t>администрирован</w:t>
            </w:r>
            <w:proofErr w:type="spellEnd"/>
            <w:r w:rsidRPr="008B7B80">
              <w:rPr>
                <w:rFonts w:ascii="Times New Roman" w:hAnsi="Times New Roman" w:cs="Times New Roman"/>
                <w:sz w:val="28"/>
                <w:szCs w:val="28"/>
              </w:rPr>
              <w:t xml:space="preserve"> служащими (работниками) самостоятельно</w:t>
            </w:r>
          </w:p>
        </w:tc>
      </w:tr>
    </w:tbl>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bookmarkStart w:id="5" w:name="P258"/>
      <w:bookmarkEnd w:id="5"/>
      <w:r w:rsidRPr="008B7B80">
        <w:rPr>
          <w:rFonts w:ascii="Times New Roman" w:hAnsi="Times New Roman" w:cs="Times New Roman"/>
          <w:sz w:val="28"/>
          <w:szCs w:val="28"/>
        </w:rPr>
        <w:lastRenderedPageBreak/>
        <w:t>&lt;7&gt;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3.32. Значимость коррупционного риска определяется сочетанием рассчитанных критериев посредством, например, использования матрицы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Пример простой матрицы коррупционных рисков представлен в таблице 3.</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contextualSpacing/>
        <w:jc w:val="right"/>
        <w:outlineLvl w:val="3"/>
        <w:rPr>
          <w:rFonts w:ascii="Times New Roman" w:hAnsi="Times New Roman" w:cs="Times New Roman"/>
          <w:sz w:val="28"/>
          <w:szCs w:val="28"/>
        </w:rPr>
      </w:pPr>
      <w:r w:rsidRPr="008B7B80">
        <w:rPr>
          <w:rFonts w:ascii="Times New Roman" w:hAnsi="Times New Roman" w:cs="Times New Roman"/>
          <w:sz w:val="28"/>
          <w:szCs w:val="28"/>
        </w:rPr>
        <w:t>Таблица 3.</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Title"/>
        <w:contextualSpacing/>
        <w:jc w:val="center"/>
        <w:rPr>
          <w:rFonts w:ascii="Times New Roman" w:hAnsi="Times New Roman" w:cs="Times New Roman"/>
          <w:sz w:val="28"/>
          <w:szCs w:val="28"/>
        </w:rPr>
      </w:pPr>
      <w:r w:rsidRPr="008B7B80">
        <w:rPr>
          <w:rFonts w:ascii="Times New Roman" w:hAnsi="Times New Roman" w:cs="Times New Roman"/>
          <w:sz w:val="28"/>
          <w:szCs w:val="28"/>
        </w:rPr>
        <w:t>Матрица коррупционных рисков</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F7F92" w:rsidP="008B7B80">
      <w:pPr>
        <w:pStyle w:val="ConsPlusNormal"/>
        <w:contextualSpacing/>
        <w:jc w:val="center"/>
        <w:rPr>
          <w:rFonts w:ascii="Times New Roman" w:hAnsi="Times New Roman" w:cs="Times New Roman"/>
          <w:sz w:val="28"/>
          <w:szCs w:val="28"/>
        </w:rPr>
      </w:pPr>
      <w:r>
        <w:rPr>
          <w:rFonts w:ascii="Times New Roman" w:hAnsi="Times New Roman" w:cs="Times New Roman"/>
          <w:position w:val="-163"/>
          <w:sz w:val="28"/>
          <w:szCs w:val="28"/>
        </w:rPr>
        <w:pict>
          <v:shape id="_x0000_i1025" style="width:436.5pt;height:174.75pt" coordsize="" o:spt="100" adj="0,,0" path="" filled="f" stroked="f">
            <v:stroke joinstyle="miter"/>
            <v:imagedata r:id="rId22" o:title="base_1_363998_32768"/>
            <v:formulas/>
            <v:path o:connecttype="segments"/>
          </v:shape>
        </w:pic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ind w:firstLine="540"/>
        <w:contextualSpacing/>
        <w:jc w:val="both"/>
        <w:rPr>
          <w:rFonts w:ascii="Times New Roman" w:hAnsi="Times New Roman" w:cs="Times New Roman"/>
          <w:sz w:val="28"/>
          <w:szCs w:val="28"/>
        </w:rPr>
      </w:pPr>
      <w:bookmarkStart w:id="6" w:name="P269"/>
      <w:bookmarkEnd w:id="6"/>
      <w:r w:rsidRPr="008B7B80">
        <w:rPr>
          <w:rFonts w:ascii="Times New Roman" w:hAnsi="Times New Roman" w:cs="Times New Roman"/>
          <w:sz w:val="28"/>
          <w:szCs w:val="28"/>
        </w:rPr>
        <w:t>3.33. Необходимо определить, какие коррупционные риски (их величины) требуют первоочередных действий. Например, в отношении матрицы коррупционных рисков формируется т.н. "граница толерантности", посредством которой определяется, какие риски находятся выше "границы толерантности" и, как следствие, требуют принятия мер по минимизации.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В отношении таких рисков рекомендуется осуществлять постоянный контроль и оперативно принять меры по их минимизации.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3.34. Ранжирование коррупционных рисков рекомендуется проводить для определения их действительного статуса:</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регулярно, в частности, для целей определения эффективности реализуемых мер по их минимизации;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при выявлении новых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при иных обстоятельствах.</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Выявление новых коррупционных рисков может оказать влияние на ранжирование других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lastRenderedPageBreak/>
        <w:t>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Title"/>
        <w:ind w:firstLine="540"/>
        <w:contextualSpacing/>
        <w:jc w:val="both"/>
        <w:outlineLvl w:val="2"/>
        <w:rPr>
          <w:rFonts w:ascii="Times New Roman" w:hAnsi="Times New Roman" w:cs="Times New Roman"/>
          <w:sz w:val="28"/>
          <w:szCs w:val="28"/>
        </w:rPr>
      </w:pPr>
      <w:r w:rsidRPr="008B7B80">
        <w:rPr>
          <w:rFonts w:ascii="Times New Roman" w:hAnsi="Times New Roman" w:cs="Times New Roman"/>
          <w:sz w:val="28"/>
          <w:szCs w:val="28"/>
        </w:rPr>
        <w:t>Разработка мер по минимизации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bookmarkStart w:id="7" w:name="P280"/>
      <w:bookmarkEnd w:id="7"/>
      <w:r w:rsidRPr="008B7B80">
        <w:rPr>
          <w:rFonts w:ascii="Times New Roman" w:hAnsi="Times New Roman" w:cs="Times New Roman"/>
          <w:sz w:val="28"/>
          <w:szCs w:val="28"/>
        </w:rPr>
        <w:t>3.35.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3.36. Минимизация коррупционных рисков предполагает следующее:</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определение возможных мер, направленных на минимизацию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определение коррупционных рисков, минимизация которых находится вне компетенции органа (организации), оценивающего коррупционные риски;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определение коррупционных рисков, требующих значительных ресурсов для их минимизации или исключения, которыми данный орган (организация) не располагает;</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выбор наиболее эффективных мер по минимизации;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определение ответственных за реализацию мероприятий по минимизации;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мониторинг реализации мер и их пересмотр (при необходимости) на регулярной основе.</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3.37. 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3.38. 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w:t>
      </w:r>
      <w:hyperlink w:anchor="P269" w:history="1">
        <w:r w:rsidRPr="008B7B80">
          <w:rPr>
            <w:rFonts w:ascii="Times New Roman" w:hAnsi="Times New Roman" w:cs="Times New Roman"/>
            <w:color w:val="0000FF"/>
            <w:sz w:val="28"/>
            <w:szCs w:val="28"/>
          </w:rPr>
          <w:t>пункте 3.33</w:t>
        </w:r>
      </w:hyperlink>
      <w:r w:rsidRPr="008B7B80">
        <w:rPr>
          <w:rFonts w:ascii="Times New Roman" w:hAnsi="Times New Roman" w:cs="Times New Roman"/>
          <w:sz w:val="28"/>
          <w:szCs w:val="28"/>
        </w:rPr>
        <w:t xml:space="preserve"> настоящих Методических рекомендаций.</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3.39. При определении мер по минимизации коррупционных рисков рекомендуется руководствоваться следующим:</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меры должны быть конкретны и понятны: служащие (работники), которым адресована такая мера, должны осознавать ее суть;</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установление срока (периодичности) реализации мер по минимизации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определение конкретного результата от реализации меры;</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установление механизмов контроля и мониторинга;</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 определение персональной ответственности служащих (работников) </w:t>
      </w:r>
      <w:r w:rsidRPr="008B7B80">
        <w:rPr>
          <w:rFonts w:ascii="Times New Roman" w:hAnsi="Times New Roman" w:cs="Times New Roman"/>
          <w:sz w:val="28"/>
          <w:szCs w:val="28"/>
        </w:rPr>
        <w:lastRenderedPageBreak/>
        <w:t>(структурных подразделений органа (организации)), участвующих в реализации и (или) заинтересованных в реализации;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определение необходимых ресурсов;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иные аспекты.</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3.40. Снижению коррупционных рисков при осуществлении закупок способствует следующее:</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влияния личной заинтересованности служащих (работников) на результаты таких процедур);</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повышение (улучшение) знаний и навыков служащих (работников), участвующих в осуществлении закупок;</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усиление контроля за недопущением совершения коррупционных правонарушений при осуществлении закупочных процедур;</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использование стандартизированных процедур и документов при осуществлении закупки "обычных" товаров, работ, услуг;</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проведение правового просвещения и информирования;</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повышение качества юридической экспертизы конкурсной документации в целях исключения противоречивых условий исполнения контракта;</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анализ обоснованности изменения условий контракта, причин затягивания (ускорения) сроков заключения (исполнения) контракта и т.д.</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3.41. Возможные меры по минимизации коррупционных рисков включают несколько основных блоков: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1) Организация и регламентация процессов, в том числе:</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детальная регламентация этапа закупочной процедуры, связанной с коррупционными рисками (например, сведение к минимуму дискреционных полномочий служащего (работника));</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минимизация единоличных решений (разумное расширение круга лиц, без участия (согласования) которых не может быть принято решение);</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минимизация ситуаций, при которых служащий (работник) совмещает функции по принятию решения, связанного с осуществлением закупки, и контролю за его исполнением;</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совершенствование механизма отбора служащих (работников) для участия в осуществлении закупок, направленное в том числе на выявление и урегулирование конфликта интересов;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иные меры.</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2) Совершенствование контрольных и мониторинговых процедур, в том числе:</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регулярный мониторинг информации о возможных коррупционных правонарушениях, совершенных служащими (работниками), в том числе на основе жалоб, содержащихся в обращениях граждан и организаций, публикаций в средствах массовой информации (например, создание эффективной "горячей линии");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lastRenderedPageBreak/>
        <w:t>- совершенствование механизмов, позволяющих служащим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совершенствование механизмов внутреннего контроля за исполнением служащими (работниками) своих обязанностей, с учетом вероятных способов обхода внедренных процедур контроля;</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иные меры.</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 Информационные и образовательные мероприятия, в том числе:</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размещение информации об ответственности за коррупционные правонарушения в помещении органа (организации), на официальном сайте органа (организации) в информационно-телекоммуникационной сети "Интернет", посредством рассылки на адреса электронных почт служащих (работников) и т.д.;</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проведение методических совещаний, семинаров, круглых столов по вопросам противодействия коррупции в закупочной деятельности;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иные меры.</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bookmarkStart w:id="8" w:name="P323"/>
      <w:bookmarkEnd w:id="8"/>
      <w:r w:rsidRPr="008B7B80">
        <w:rPr>
          <w:rFonts w:ascii="Times New Roman" w:hAnsi="Times New Roman" w:cs="Times New Roman"/>
          <w:sz w:val="28"/>
          <w:szCs w:val="28"/>
        </w:rPr>
        <w:t>3.42. 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т.н. "анализ "затраты - выгоды").</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Title"/>
        <w:ind w:firstLine="540"/>
        <w:contextualSpacing/>
        <w:jc w:val="both"/>
        <w:outlineLvl w:val="2"/>
        <w:rPr>
          <w:rFonts w:ascii="Times New Roman" w:hAnsi="Times New Roman" w:cs="Times New Roman"/>
          <w:sz w:val="28"/>
          <w:szCs w:val="28"/>
        </w:rPr>
      </w:pPr>
      <w:r w:rsidRPr="008B7B80">
        <w:rPr>
          <w:rFonts w:ascii="Times New Roman" w:hAnsi="Times New Roman" w:cs="Times New Roman"/>
          <w:sz w:val="28"/>
          <w:szCs w:val="28"/>
        </w:rPr>
        <w:t>Утверждение результатов оценки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3.43. По результатам проведенной оценки коррупционных рисков подразделению по профилактике коррупционных правонарушений рекомендуется составить реестр коррупционных рисков по форме согласно </w:t>
      </w:r>
      <w:hyperlink w:anchor="P373" w:history="1">
        <w:r w:rsidRPr="008B7B80">
          <w:rPr>
            <w:rFonts w:ascii="Times New Roman" w:hAnsi="Times New Roman" w:cs="Times New Roman"/>
            <w:color w:val="0000FF"/>
            <w:sz w:val="28"/>
            <w:szCs w:val="28"/>
          </w:rPr>
          <w:t>приложению N 2</w:t>
        </w:r>
      </w:hyperlink>
      <w:r w:rsidRPr="008B7B80">
        <w:rPr>
          <w:rFonts w:ascii="Times New Roman" w:hAnsi="Times New Roman" w:cs="Times New Roman"/>
          <w:sz w:val="28"/>
          <w:szCs w:val="28"/>
        </w:rPr>
        <w:t xml:space="preserve"> к настоящим Методическим рекомендациям.</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3.44. В качестве пояснительных документов к реестру коррупционных рисков рекомендуется приложить отчет об оценке коррупционных рисков, содержащий информацию о проделанной работе, в том числе информацию о способах сбора информации, расчете используемых показателей при ранжировании коррупционных рисков, обосновании предлагаемых мер по минимизации, матрицу коррупционных рисков и т.д.</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3.45. Одновременно с реестром коррупционных рисков рекомендуется осуществить подготовку плана по минимизации коррупционных рисков по форме согласно </w:t>
      </w:r>
      <w:hyperlink w:anchor="P409" w:history="1">
        <w:r w:rsidRPr="008B7B80">
          <w:rPr>
            <w:rFonts w:ascii="Times New Roman" w:hAnsi="Times New Roman" w:cs="Times New Roman"/>
            <w:color w:val="0000FF"/>
            <w:sz w:val="28"/>
            <w:szCs w:val="28"/>
          </w:rPr>
          <w:t>приложению N 3</w:t>
        </w:r>
      </w:hyperlink>
      <w:r w:rsidRPr="008B7B80">
        <w:rPr>
          <w:rFonts w:ascii="Times New Roman" w:hAnsi="Times New Roman" w:cs="Times New Roman"/>
          <w:sz w:val="28"/>
          <w:szCs w:val="28"/>
        </w:rPr>
        <w:t xml:space="preserve"> к настоящим Методическим рекомендациям.</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При подготовке плана по минимизации коррупционных рисков учитываются положения </w:t>
      </w:r>
      <w:hyperlink w:anchor="P280" w:history="1">
        <w:r w:rsidRPr="008B7B80">
          <w:rPr>
            <w:rFonts w:ascii="Times New Roman" w:hAnsi="Times New Roman" w:cs="Times New Roman"/>
            <w:color w:val="0000FF"/>
            <w:sz w:val="28"/>
            <w:szCs w:val="28"/>
          </w:rPr>
          <w:t>пунктов 3.35</w:t>
        </w:r>
      </w:hyperlink>
      <w:r w:rsidRPr="008B7B80">
        <w:rPr>
          <w:rFonts w:ascii="Times New Roman" w:hAnsi="Times New Roman" w:cs="Times New Roman"/>
          <w:sz w:val="28"/>
          <w:szCs w:val="28"/>
        </w:rPr>
        <w:t xml:space="preserve"> - </w:t>
      </w:r>
      <w:hyperlink w:anchor="P323" w:history="1">
        <w:r w:rsidRPr="008B7B80">
          <w:rPr>
            <w:rFonts w:ascii="Times New Roman" w:hAnsi="Times New Roman" w:cs="Times New Roman"/>
            <w:color w:val="0000FF"/>
            <w:sz w:val="28"/>
            <w:szCs w:val="28"/>
          </w:rPr>
          <w:t>3.42</w:t>
        </w:r>
      </w:hyperlink>
      <w:r w:rsidRPr="008B7B80">
        <w:rPr>
          <w:rFonts w:ascii="Times New Roman" w:hAnsi="Times New Roman" w:cs="Times New Roman"/>
          <w:sz w:val="28"/>
          <w:szCs w:val="28"/>
        </w:rPr>
        <w:t xml:space="preserve"> настоящих Методических рекомендаций.</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 xml:space="preserve">3.46. 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Также данные проекты могут быть рассмотрены на заседании коллегиального органа, в полномочия (функции) которого входят вопросы, связанные с </w:t>
      </w:r>
      <w:r w:rsidRPr="008B7B80">
        <w:rPr>
          <w:rFonts w:ascii="Times New Roman" w:hAnsi="Times New Roman" w:cs="Times New Roman"/>
          <w:sz w:val="28"/>
          <w:szCs w:val="28"/>
        </w:rPr>
        <w:lastRenderedPageBreak/>
        <w:t>предупреждением коррупции (при наличии) &lt;8&gt;.</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&lt;8</w:t>
      </w:r>
      <w:proofErr w:type="gramStart"/>
      <w:r w:rsidRPr="008B7B80">
        <w:rPr>
          <w:rFonts w:ascii="Times New Roman" w:hAnsi="Times New Roman" w:cs="Times New Roman"/>
          <w:sz w:val="28"/>
          <w:szCs w:val="28"/>
        </w:rPr>
        <w:t>&gt; Например</w:t>
      </w:r>
      <w:proofErr w:type="gramEnd"/>
      <w:r w:rsidRPr="008B7B80">
        <w:rPr>
          <w:rFonts w:ascii="Times New Roman" w:hAnsi="Times New Roman" w:cs="Times New Roman"/>
          <w:sz w:val="28"/>
          <w:szCs w:val="28"/>
        </w:rPr>
        <w:t>, на заседании комиссии по соблюдению требований к служебному поведению и урегулированию конфликта интересов (аттестационной комиссии).</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Рекомендуется установить конкретный срок рассмотрения проектов реестра коррупционных рисков и плана по минимизации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При необходимости проекты реестра коррупционных рисков и плана по минимизации коррупционных рисков дорабатываются с учетом поступивших письменных предложений и замечаний.</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3.47. 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 (организации) (уполномоченному должностному лицу) и могут впоследствии быть размещены на официальном сайте органа (организации) в информационно-телекоммуникационной сети "Интернет".</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Title"/>
        <w:ind w:firstLine="540"/>
        <w:contextualSpacing/>
        <w:jc w:val="both"/>
        <w:outlineLvl w:val="2"/>
        <w:rPr>
          <w:rFonts w:ascii="Times New Roman" w:hAnsi="Times New Roman" w:cs="Times New Roman"/>
          <w:sz w:val="28"/>
          <w:szCs w:val="28"/>
        </w:rPr>
      </w:pPr>
      <w:r w:rsidRPr="008B7B80">
        <w:rPr>
          <w:rFonts w:ascii="Times New Roman" w:hAnsi="Times New Roman" w:cs="Times New Roman"/>
          <w:sz w:val="28"/>
          <w:szCs w:val="28"/>
        </w:rPr>
        <w:t>Мониторинг реализации мер по минимизации выявленных коррупционных рисков</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3.48.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3.49. Мониторинг целесообразно проводить на регулярной основе (например, раз в полгода), а также по мере необходимости.</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3.50. Подготовку доклада о результатах соответствующего мониторинга, который представляется на рассмотрение руководителю органа (организации) (уполномоченному должностному лицу), рекомендуется осуществлять подразделению по профилактике коррупционных правонарушений.</w:t>
      </w:r>
    </w:p>
    <w:p w:rsidR="008B7B80" w:rsidRPr="008B7B80" w:rsidRDefault="008B7B80" w:rsidP="008B7B80">
      <w:pPr>
        <w:pStyle w:val="ConsPlusNormal"/>
        <w:spacing w:before="220"/>
        <w:ind w:firstLine="540"/>
        <w:contextualSpacing/>
        <w:jc w:val="both"/>
        <w:rPr>
          <w:rFonts w:ascii="Times New Roman" w:hAnsi="Times New Roman" w:cs="Times New Roman"/>
          <w:sz w:val="28"/>
          <w:szCs w:val="28"/>
        </w:rPr>
      </w:pPr>
      <w:r w:rsidRPr="008B7B80">
        <w:rPr>
          <w:rFonts w:ascii="Times New Roman" w:hAnsi="Times New Roman" w:cs="Times New Roman"/>
          <w:sz w:val="28"/>
          <w:szCs w:val="28"/>
        </w:rPr>
        <w:t>3.51. 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contextualSpacing/>
        <w:jc w:val="right"/>
        <w:outlineLvl w:val="0"/>
        <w:rPr>
          <w:rFonts w:ascii="Times New Roman" w:hAnsi="Times New Roman" w:cs="Times New Roman"/>
          <w:sz w:val="28"/>
          <w:szCs w:val="28"/>
        </w:rPr>
      </w:pPr>
      <w:r w:rsidRPr="008B7B80">
        <w:rPr>
          <w:rFonts w:ascii="Times New Roman" w:hAnsi="Times New Roman" w:cs="Times New Roman"/>
          <w:sz w:val="28"/>
          <w:szCs w:val="28"/>
        </w:rPr>
        <w:t>Приложение N 1</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Title"/>
        <w:contextualSpacing/>
        <w:jc w:val="center"/>
        <w:rPr>
          <w:rFonts w:ascii="Times New Roman" w:hAnsi="Times New Roman" w:cs="Times New Roman"/>
          <w:sz w:val="28"/>
          <w:szCs w:val="28"/>
        </w:rPr>
      </w:pPr>
      <w:bookmarkStart w:id="9" w:name="P350"/>
      <w:bookmarkEnd w:id="9"/>
      <w:r w:rsidRPr="008B7B80">
        <w:rPr>
          <w:rFonts w:ascii="Times New Roman" w:hAnsi="Times New Roman" w:cs="Times New Roman"/>
          <w:sz w:val="28"/>
          <w:szCs w:val="28"/>
        </w:rPr>
        <w:t>ФУНКЦИОНАЛЬНЫЕ ЭЛЕМЕНТЫ БЛОК-СХЕМЫ</w:t>
      </w:r>
    </w:p>
    <w:p w:rsidR="008B7B80" w:rsidRPr="008B7B80" w:rsidRDefault="008B7B80" w:rsidP="008B7B80">
      <w:pPr>
        <w:pStyle w:val="ConsPlusNormal"/>
        <w:contextualSpacing/>
        <w:jc w:val="both"/>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8B7B80" w:rsidRPr="008B7B80">
        <w:tc>
          <w:tcPr>
            <w:tcW w:w="3798" w:type="dxa"/>
            <w:tcBorders>
              <w:left w:val="nil"/>
            </w:tcBorders>
          </w:tcPr>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lastRenderedPageBreak/>
              <w:t>Изображение элемента</w:t>
            </w:r>
          </w:p>
        </w:tc>
        <w:tc>
          <w:tcPr>
            <w:tcW w:w="5272" w:type="dxa"/>
            <w:tcBorders>
              <w:right w:val="nil"/>
            </w:tcBorders>
          </w:tcPr>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Описание</w:t>
            </w:r>
          </w:p>
        </w:tc>
      </w:tr>
      <w:tr w:rsidR="008B7B80" w:rsidRPr="008B7B80">
        <w:tc>
          <w:tcPr>
            <w:tcW w:w="3798" w:type="dxa"/>
            <w:tcBorders>
              <w:left w:val="nil"/>
            </w:tcBorders>
            <w:vAlign w:val="center"/>
          </w:tcPr>
          <w:p w:rsidR="008B7B80" w:rsidRPr="008B7B80" w:rsidRDefault="008F7F92" w:rsidP="008B7B80">
            <w:pPr>
              <w:pStyle w:val="ConsPlusNormal"/>
              <w:contextualSpacing/>
              <w:jc w:val="center"/>
              <w:rPr>
                <w:rFonts w:ascii="Times New Roman" w:hAnsi="Times New Roman" w:cs="Times New Roman"/>
                <w:sz w:val="28"/>
                <w:szCs w:val="28"/>
              </w:rPr>
            </w:pPr>
            <w:r>
              <w:rPr>
                <w:rFonts w:ascii="Times New Roman" w:hAnsi="Times New Roman" w:cs="Times New Roman"/>
                <w:position w:val="-29"/>
                <w:sz w:val="28"/>
                <w:szCs w:val="28"/>
              </w:rPr>
              <w:pict>
                <v:shape id="_x0000_i1026" style="width:113.25pt;height:41.25pt" coordsize="" o:spt="100" adj="0,,0" path="" filled="f" stroked="f">
                  <v:stroke joinstyle="miter"/>
                  <v:imagedata r:id="rId23" o:title="base_1_363998_32769"/>
                  <v:formulas/>
                  <v:path o:connecttype="segments"/>
                </v:shape>
              </w:pict>
            </w:r>
          </w:p>
        </w:tc>
        <w:tc>
          <w:tcPr>
            <w:tcW w:w="5272" w:type="dxa"/>
            <w:tcBorders>
              <w:right w:val="nil"/>
            </w:tcBorders>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Начало (конец) процедуры осуществления закупки</w:t>
            </w:r>
          </w:p>
        </w:tc>
      </w:tr>
      <w:tr w:rsidR="008B7B80" w:rsidRPr="008B7B80">
        <w:tc>
          <w:tcPr>
            <w:tcW w:w="3798" w:type="dxa"/>
            <w:tcBorders>
              <w:left w:val="nil"/>
            </w:tcBorders>
            <w:vAlign w:val="center"/>
          </w:tcPr>
          <w:p w:rsidR="008B7B80" w:rsidRPr="008B7B80" w:rsidRDefault="008F7F92" w:rsidP="008B7B80">
            <w:pPr>
              <w:pStyle w:val="ConsPlusNormal"/>
              <w:contextualSpacing/>
              <w:jc w:val="center"/>
              <w:rPr>
                <w:rFonts w:ascii="Times New Roman" w:hAnsi="Times New Roman" w:cs="Times New Roman"/>
                <w:sz w:val="28"/>
                <w:szCs w:val="28"/>
              </w:rPr>
            </w:pPr>
            <w:r>
              <w:rPr>
                <w:rFonts w:ascii="Times New Roman" w:hAnsi="Times New Roman" w:cs="Times New Roman"/>
                <w:position w:val="-28"/>
                <w:sz w:val="28"/>
                <w:szCs w:val="28"/>
              </w:rPr>
              <w:pict>
                <v:shape id="_x0000_i1027" style="width:114.75pt;height:39.75pt" coordsize="" o:spt="100" adj="0,,0" path="" filled="f" stroked="f">
                  <v:stroke joinstyle="miter"/>
                  <v:imagedata r:id="rId24" o:title="base_1_363998_32770"/>
                  <v:formulas/>
                  <v:path o:connecttype="segments"/>
                </v:shape>
              </w:pict>
            </w:r>
          </w:p>
        </w:tc>
        <w:tc>
          <w:tcPr>
            <w:tcW w:w="5272" w:type="dxa"/>
            <w:tcBorders>
              <w:right w:val="nil"/>
            </w:tcBorders>
            <w:vAlign w:val="center"/>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Ввод или вывод данных (результата), возникающего при осуществлении закупки</w:t>
            </w:r>
          </w:p>
        </w:tc>
      </w:tr>
      <w:tr w:rsidR="008B7B80" w:rsidRPr="008B7B80">
        <w:tc>
          <w:tcPr>
            <w:tcW w:w="3798" w:type="dxa"/>
            <w:tcBorders>
              <w:left w:val="nil"/>
            </w:tcBorders>
            <w:vAlign w:val="center"/>
          </w:tcPr>
          <w:p w:rsidR="008B7B80" w:rsidRPr="008B7B80" w:rsidRDefault="008F7F92" w:rsidP="008B7B80">
            <w:pPr>
              <w:pStyle w:val="ConsPlusNormal"/>
              <w:contextualSpacing/>
              <w:jc w:val="center"/>
              <w:rPr>
                <w:rFonts w:ascii="Times New Roman" w:hAnsi="Times New Roman" w:cs="Times New Roman"/>
                <w:sz w:val="28"/>
                <w:szCs w:val="28"/>
              </w:rPr>
            </w:pPr>
            <w:r>
              <w:rPr>
                <w:rFonts w:ascii="Times New Roman" w:hAnsi="Times New Roman" w:cs="Times New Roman"/>
                <w:position w:val="-29"/>
                <w:sz w:val="28"/>
                <w:szCs w:val="28"/>
              </w:rPr>
              <w:pict>
                <v:shape id="_x0000_i1028" style="width:114pt;height:41.25pt" coordsize="" o:spt="100" adj="0,,0" path="" filled="f" stroked="f">
                  <v:stroke joinstyle="miter"/>
                  <v:imagedata r:id="rId25" o:title="base_1_363998_32771"/>
                  <v:formulas/>
                  <v:path o:connecttype="segments"/>
                </v:shape>
              </w:pict>
            </w:r>
          </w:p>
        </w:tc>
        <w:tc>
          <w:tcPr>
            <w:tcW w:w="5272" w:type="dxa"/>
            <w:tcBorders>
              <w:right w:val="nil"/>
            </w:tcBorders>
            <w:vAlign w:val="center"/>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Выполнение действия, необходимого для осуществления закупки</w:t>
            </w:r>
          </w:p>
        </w:tc>
      </w:tr>
      <w:tr w:rsidR="008B7B80" w:rsidRPr="008B7B80">
        <w:tc>
          <w:tcPr>
            <w:tcW w:w="3798" w:type="dxa"/>
            <w:tcBorders>
              <w:left w:val="nil"/>
            </w:tcBorders>
            <w:vAlign w:val="center"/>
          </w:tcPr>
          <w:p w:rsidR="008B7B80" w:rsidRPr="008B7B80" w:rsidRDefault="008F7F92" w:rsidP="008B7B80">
            <w:pPr>
              <w:pStyle w:val="ConsPlusNormal"/>
              <w:contextualSpacing/>
              <w:jc w:val="center"/>
              <w:rPr>
                <w:rFonts w:ascii="Times New Roman" w:hAnsi="Times New Roman" w:cs="Times New Roman"/>
                <w:sz w:val="28"/>
                <w:szCs w:val="28"/>
              </w:rPr>
            </w:pPr>
            <w:r>
              <w:rPr>
                <w:rFonts w:ascii="Times New Roman" w:hAnsi="Times New Roman" w:cs="Times New Roman"/>
                <w:position w:val="-29"/>
                <w:sz w:val="28"/>
                <w:szCs w:val="28"/>
              </w:rPr>
              <w:pict>
                <v:shape id="_x0000_i1029" style="width:117pt;height:40.5pt" coordsize="" o:spt="100" adj="0,,0" path="" filled="f" stroked="f">
                  <v:stroke joinstyle="miter"/>
                  <v:imagedata r:id="rId26" o:title="base_1_363998_32772"/>
                  <v:formulas/>
                  <v:path o:connecttype="segments"/>
                </v:shape>
              </w:pict>
            </w:r>
          </w:p>
        </w:tc>
        <w:tc>
          <w:tcPr>
            <w:tcW w:w="5272" w:type="dxa"/>
            <w:tcBorders>
              <w:right w:val="nil"/>
            </w:tcBorders>
            <w:vAlign w:val="center"/>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Принятие решения при осуществлении закупки</w:t>
            </w:r>
          </w:p>
        </w:tc>
      </w:tr>
      <w:tr w:rsidR="008B7B80" w:rsidRPr="008B7B80">
        <w:tc>
          <w:tcPr>
            <w:tcW w:w="3798" w:type="dxa"/>
            <w:tcBorders>
              <w:left w:val="nil"/>
            </w:tcBorders>
            <w:vAlign w:val="center"/>
          </w:tcPr>
          <w:p w:rsidR="008B7B80" w:rsidRPr="008B7B80" w:rsidRDefault="008F7F92" w:rsidP="008B7B80">
            <w:pPr>
              <w:pStyle w:val="ConsPlusNormal"/>
              <w:contextualSpacing/>
              <w:jc w:val="center"/>
              <w:rPr>
                <w:rFonts w:ascii="Times New Roman" w:hAnsi="Times New Roman" w:cs="Times New Roman"/>
                <w:sz w:val="28"/>
                <w:szCs w:val="28"/>
              </w:rPr>
            </w:pPr>
            <w:r>
              <w:rPr>
                <w:rFonts w:ascii="Times New Roman" w:hAnsi="Times New Roman" w:cs="Times New Roman"/>
                <w:position w:val="-30"/>
                <w:sz w:val="28"/>
                <w:szCs w:val="28"/>
              </w:rPr>
              <w:pict>
                <v:shape id="_x0000_i1030" style="width:114pt;height:41.25pt" coordsize="" o:spt="100" adj="0,,0" path="" filled="f" stroked="f">
                  <v:stroke joinstyle="miter"/>
                  <v:imagedata r:id="rId27" o:title="base_1_363998_32773"/>
                  <v:formulas/>
                  <v:path o:connecttype="segments"/>
                </v:shape>
              </w:pict>
            </w:r>
          </w:p>
        </w:tc>
        <w:tc>
          <w:tcPr>
            <w:tcW w:w="5272" w:type="dxa"/>
            <w:tcBorders>
              <w:right w:val="nil"/>
            </w:tcBorders>
            <w:vAlign w:val="bottom"/>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Цикличный процесс, возникающий в процедуре закупки</w:t>
            </w:r>
          </w:p>
        </w:tc>
      </w:tr>
      <w:tr w:rsidR="008B7B80" w:rsidRPr="008B7B80">
        <w:tc>
          <w:tcPr>
            <w:tcW w:w="3798" w:type="dxa"/>
            <w:tcBorders>
              <w:left w:val="nil"/>
            </w:tcBorders>
            <w:vAlign w:val="center"/>
          </w:tcPr>
          <w:p w:rsidR="008B7B80" w:rsidRPr="008B7B80" w:rsidRDefault="008F7F92" w:rsidP="008B7B80">
            <w:pPr>
              <w:pStyle w:val="ConsPlusNormal"/>
              <w:contextualSpacing/>
              <w:jc w:val="center"/>
              <w:rPr>
                <w:rFonts w:ascii="Times New Roman" w:hAnsi="Times New Roman" w:cs="Times New Roman"/>
                <w:sz w:val="28"/>
                <w:szCs w:val="28"/>
              </w:rPr>
            </w:pPr>
            <w:r>
              <w:rPr>
                <w:rFonts w:ascii="Times New Roman" w:hAnsi="Times New Roman" w:cs="Times New Roman"/>
                <w:position w:val="-30"/>
                <w:sz w:val="28"/>
                <w:szCs w:val="28"/>
              </w:rPr>
              <w:pict>
                <v:shape id="_x0000_i1031" style="width:81.75pt;height:41.25pt" coordsize="" o:spt="100" adj="0,,0" path="" filled="f" stroked="f">
                  <v:stroke joinstyle="miter"/>
                  <v:imagedata r:id="rId28" o:title="base_1_363998_32774"/>
                  <v:formulas/>
                  <v:path o:connecttype="segments"/>
                </v:shape>
              </w:pict>
            </w:r>
          </w:p>
        </w:tc>
        <w:tc>
          <w:tcPr>
            <w:tcW w:w="5272" w:type="dxa"/>
            <w:tcBorders>
              <w:right w:val="nil"/>
            </w:tcBorders>
            <w:vAlign w:val="center"/>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Направляющие (указание последовательности)</w:t>
            </w:r>
          </w:p>
        </w:tc>
      </w:tr>
    </w:tbl>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contextualSpacing/>
        <w:jc w:val="right"/>
        <w:outlineLvl w:val="0"/>
        <w:rPr>
          <w:rFonts w:ascii="Times New Roman" w:hAnsi="Times New Roman" w:cs="Times New Roman"/>
          <w:sz w:val="28"/>
          <w:szCs w:val="28"/>
        </w:rPr>
      </w:pPr>
      <w:r w:rsidRPr="008B7B80">
        <w:rPr>
          <w:rFonts w:ascii="Times New Roman" w:hAnsi="Times New Roman" w:cs="Times New Roman"/>
          <w:sz w:val="28"/>
          <w:szCs w:val="28"/>
        </w:rPr>
        <w:t>Приложение N 2</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contextualSpacing/>
        <w:jc w:val="center"/>
        <w:rPr>
          <w:rFonts w:ascii="Times New Roman" w:hAnsi="Times New Roman" w:cs="Times New Roman"/>
          <w:sz w:val="28"/>
          <w:szCs w:val="28"/>
        </w:rPr>
      </w:pPr>
      <w:bookmarkStart w:id="10" w:name="P373"/>
      <w:bookmarkEnd w:id="10"/>
      <w:r w:rsidRPr="008B7B80">
        <w:rPr>
          <w:rFonts w:ascii="Times New Roman" w:hAnsi="Times New Roman" w:cs="Times New Roman"/>
          <w:sz w:val="28"/>
          <w:szCs w:val="28"/>
        </w:rPr>
        <w:t>Рекомендуемая форма</w:t>
      </w:r>
    </w:p>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реестра (карты) коррупционных рисков, возникающих</w:t>
      </w:r>
    </w:p>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при осуществлении закупок</w:t>
      </w:r>
    </w:p>
    <w:p w:rsidR="008B7B80" w:rsidRPr="008B7B80" w:rsidRDefault="008B7B80" w:rsidP="008B7B80">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57"/>
        <w:gridCol w:w="1474"/>
        <w:gridCol w:w="1871"/>
        <w:gridCol w:w="1587"/>
        <w:gridCol w:w="1757"/>
      </w:tblGrid>
      <w:tr w:rsidR="008B7B80" w:rsidRPr="008B7B80">
        <w:tc>
          <w:tcPr>
            <w:tcW w:w="624" w:type="dxa"/>
            <w:vMerge w:val="restart"/>
          </w:tcPr>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N п/п</w:t>
            </w:r>
          </w:p>
        </w:tc>
        <w:tc>
          <w:tcPr>
            <w:tcW w:w="1757" w:type="dxa"/>
            <w:vMerge w:val="restart"/>
          </w:tcPr>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Краткое наименование коррупционного риска</w:t>
            </w:r>
          </w:p>
        </w:tc>
        <w:tc>
          <w:tcPr>
            <w:tcW w:w="1474" w:type="dxa"/>
            <w:vMerge w:val="restart"/>
          </w:tcPr>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Описание возможной коррупционной схемы</w:t>
            </w:r>
          </w:p>
        </w:tc>
        <w:tc>
          <w:tcPr>
            <w:tcW w:w="1871" w:type="dxa"/>
            <w:vMerge w:val="restart"/>
          </w:tcPr>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Наименование должностей служащих (работников), которые могут участвовать в реализации коррупционной схемы</w:t>
            </w:r>
          </w:p>
        </w:tc>
        <w:tc>
          <w:tcPr>
            <w:tcW w:w="3344" w:type="dxa"/>
            <w:gridSpan w:val="2"/>
          </w:tcPr>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Меры по минимизации коррупционных рисков</w:t>
            </w:r>
          </w:p>
        </w:tc>
      </w:tr>
      <w:tr w:rsidR="008B7B80" w:rsidRPr="008B7B80">
        <w:tc>
          <w:tcPr>
            <w:tcW w:w="624" w:type="dxa"/>
            <w:vMerge/>
          </w:tcPr>
          <w:p w:rsidR="008B7B80" w:rsidRPr="008B7B80" w:rsidRDefault="008B7B80" w:rsidP="008B7B80">
            <w:pPr>
              <w:contextualSpacing/>
              <w:rPr>
                <w:rFonts w:ascii="Times New Roman" w:hAnsi="Times New Roman" w:cs="Times New Roman"/>
                <w:sz w:val="28"/>
                <w:szCs w:val="28"/>
              </w:rPr>
            </w:pPr>
          </w:p>
        </w:tc>
        <w:tc>
          <w:tcPr>
            <w:tcW w:w="1757" w:type="dxa"/>
            <w:vMerge/>
          </w:tcPr>
          <w:p w:rsidR="008B7B80" w:rsidRPr="008B7B80" w:rsidRDefault="008B7B80" w:rsidP="008B7B80">
            <w:pPr>
              <w:contextualSpacing/>
              <w:rPr>
                <w:rFonts w:ascii="Times New Roman" w:hAnsi="Times New Roman" w:cs="Times New Roman"/>
                <w:sz w:val="28"/>
                <w:szCs w:val="28"/>
              </w:rPr>
            </w:pPr>
          </w:p>
        </w:tc>
        <w:tc>
          <w:tcPr>
            <w:tcW w:w="1474" w:type="dxa"/>
            <w:vMerge/>
          </w:tcPr>
          <w:p w:rsidR="008B7B80" w:rsidRPr="008B7B80" w:rsidRDefault="008B7B80" w:rsidP="008B7B80">
            <w:pPr>
              <w:contextualSpacing/>
              <w:rPr>
                <w:rFonts w:ascii="Times New Roman" w:hAnsi="Times New Roman" w:cs="Times New Roman"/>
                <w:sz w:val="28"/>
                <w:szCs w:val="28"/>
              </w:rPr>
            </w:pPr>
          </w:p>
        </w:tc>
        <w:tc>
          <w:tcPr>
            <w:tcW w:w="1871" w:type="dxa"/>
            <w:vMerge/>
          </w:tcPr>
          <w:p w:rsidR="008B7B80" w:rsidRPr="008B7B80" w:rsidRDefault="008B7B80" w:rsidP="008B7B80">
            <w:pPr>
              <w:contextualSpacing/>
              <w:rPr>
                <w:rFonts w:ascii="Times New Roman" w:hAnsi="Times New Roman" w:cs="Times New Roman"/>
                <w:sz w:val="28"/>
                <w:szCs w:val="28"/>
              </w:rPr>
            </w:pPr>
          </w:p>
        </w:tc>
        <w:tc>
          <w:tcPr>
            <w:tcW w:w="1587" w:type="dxa"/>
          </w:tcPr>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Реализуемые</w:t>
            </w:r>
          </w:p>
        </w:tc>
        <w:tc>
          <w:tcPr>
            <w:tcW w:w="1757" w:type="dxa"/>
          </w:tcPr>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Предлагаемые</w:t>
            </w:r>
          </w:p>
        </w:tc>
      </w:tr>
      <w:tr w:rsidR="008B7B80" w:rsidRPr="008B7B80">
        <w:tc>
          <w:tcPr>
            <w:tcW w:w="624" w:type="dxa"/>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1.</w:t>
            </w:r>
          </w:p>
        </w:tc>
        <w:tc>
          <w:tcPr>
            <w:tcW w:w="1757" w:type="dxa"/>
          </w:tcPr>
          <w:p w:rsidR="008B7B80" w:rsidRPr="008B7B80" w:rsidRDefault="008B7B80" w:rsidP="008B7B80">
            <w:pPr>
              <w:pStyle w:val="ConsPlusNormal"/>
              <w:contextualSpacing/>
              <w:rPr>
                <w:rFonts w:ascii="Times New Roman" w:hAnsi="Times New Roman" w:cs="Times New Roman"/>
                <w:sz w:val="28"/>
                <w:szCs w:val="28"/>
              </w:rPr>
            </w:pPr>
          </w:p>
        </w:tc>
        <w:tc>
          <w:tcPr>
            <w:tcW w:w="1474" w:type="dxa"/>
          </w:tcPr>
          <w:p w:rsidR="008B7B80" w:rsidRPr="008B7B80" w:rsidRDefault="008B7B80" w:rsidP="008B7B80">
            <w:pPr>
              <w:pStyle w:val="ConsPlusNormal"/>
              <w:contextualSpacing/>
              <w:rPr>
                <w:rFonts w:ascii="Times New Roman" w:hAnsi="Times New Roman" w:cs="Times New Roman"/>
                <w:sz w:val="28"/>
                <w:szCs w:val="28"/>
              </w:rPr>
            </w:pPr>
          </w:p>
        </w:tc>
        <w:tc>
          <w:tcPr>
            <w:tcW w:w="1871" w:type="dxa"/>
          </w:tcPr>
          <w:p w:rsidR="008B7B80" w:rsidRPr="008B7B80" w:rsidRDefault="008B7B80" w:rsidP="008B7B80">
            <w:pPr>
              <w:pStyle w:val="ConsPlusNormal"/>
              <w:contextualSpacing/>
              <w:rPr>
                <w:rFonts w:ascii="Times New Roman" w:hAnsi="Times New Roman" w:cs="Times New Roman"/>
                <w:sz w:val="28"/>
                <w:szCs w:val="28"/>
              </w:rPr>
            </w:pPr>
          </w:p>
        </w:tc>
        <w:tc>
          <w:tcPr>
            <w:tcW w:w="1587" w:type="dxa"/>
          </w:tcPr>
          <w:p w:rsidR="008B7B80" w:rsidRPr="008B7B80" w:rsidRDefault="008B7B80" w:rsidP="008B7B80">
            <w:pPr>
              <w:pStyle w:val="ConsPlusNormal"/>
              <w:contextualSpacing/>
              <w:rPr>
                <w:rFonts w:ascii="Times New Roman" w:hAnsi="Times New Roman" w:cs="Times New Roman"/>
                <w:sz w:val="28"/>
                <w:szCs w:val="28"/>
              </w:rPr>
            </w:pPr>
          </w:p>
        </w:tc>
        <w:tc>
          <w:tcPr>
            <w:tcW w:w="1757" w:type="dxa"/>
          </w:tcPr>
          <w:p w:rsidR="008B7B80" w:rsidRPr="008B7B80" w:rsidRDefault="008B7B80" w:rsidP="008B7B80">
            <w:pPr>
              <w:pStyle w:val="ConsPlusNormal"/>
              <w:contextualSpacing/>
              <w:rPr>
                <w:rFonts w:ascii="Times New Roman" w:hAnsi="Times New Roman" w:cs="Times New Roman"/>
                <w:sz w:val="28"/>
                <w:szCs w:val="28"/>
              </w:rPr>
            </w:pPr>
          </w:p>
        </w:tc>
      </w:tr>
      <w:tr w:rsidR="008B7B80" w:rsidRPr="008B7B80">
        <w:tc>
          <w:tcPr>
            <w:tcW w:w="624" w:type="dxa"/>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lastRenderedPageBreak/>
              <w:t>2.</w:t>
            </w:r>
          </w:p>
        </w:tc>
        <w:tc>
          <w:tcPr>
            <w:tcW w:w="1757" w:type="dxa"/>
          </w:tcPr>
          <w:p w:rsidR="008B7B80" w:rsidRPr="008B7B80" w:rsidRDefault="008B7B80" w:rsidP="008B7B80">
            <w:pPr>
              <w:pStyle w:val="ConsPlusNormal"/>
              <w:contextualSpacing/>
              <w:rPr>
                <w:rFonts w:ascii="Times New Roman" w:hAnsi="Times New Roman" w:cs="Times New Roman"/>
                <w:sz w:val="28"/>
                <w:szCs w:val="28"/>
              </w:rPr>
            </w:pPr>
          </w:p>
        </w:tc>
        <w:tc>
          <w:tcPr>
            <w:tcW w:w="1474" w:type="dxa"/>
          </w:tcPr>
          <w:p w:rsidR="008B7B80" w:rsidRPr="008B7B80" w:rsidRDefault="008B7B80" w:rsidP="008B7B80">
            <w:pPr>
              <w:pStyle w:val="ConsPlusNormal"/>
              <w:contextualSpacing/>
              <w:rPr>
                <w:rFonts w:ascii="Times New Roman" w:hAnsi="Times New Roman" w:cs="Times New Roman"/>
                <w:sz w:val="28"/>
                <w:szCs w:val="28"/>
              </w:rPr>
            </w:pPr>
          </w:p>
        </w:tc>
        <w:tc>
          <w:tcPr>
            <w:tcW w:w="1871" w:type="dxa"/>
          </w:tcPr>
          <w:p w:rsidR="008B7B80" w:rsidRPr="008B7B80" w:rsidRDefault="008B7B80" w:rsidP="008B7B80">
            <w:pPr>
              <w:pStyle w:val="ConsPlusNormal"/>
              <w:contextualSpacing/>
              <w:rPr>
                <w:rFonts w:ascii="Times New Roman" w:hAnsi="Times New Roman" w:cs="Times New Roman"/>
                <w:sz w:val="28"/>
                <w:szCs w:val="28"/>
              </w:rPr>
            </w:pPr>
          </w:p>
        </w:tc>
        <w:tc>
          <w:tcPr>
            <w:tcW w:w="1587" w:type="dxa"/>
          </w:tcPr>
          <w:p w:rsidR="008B7B80" w:rsidRPr="008B7B80" w:rsidRDefault="008B7B80" w:rsidP="008B7B80">
            <w:pPr>
              <w:pStyle w:val="ConsPlusNormal"/>
              <w:contextualSpacing/>
              <w:rPr>
                <w:rFonts w:ascii="Times New Roman" w:hAnsi="Times New Roman" w:cs="Times New Roman"/>
                <w:sz w:val="28"/>
                <w:szCs w:val="28"/>
              </w:rPr>
            </w:pPr>
          </w:p>
        </w:tc>
        <w:tc>
          <w:tcPr>
            <w:tcW w:w="1757" w:type="dxa"/>
          </w:tcPr>
          <w:p w:rsidR="008B7B80" w:rsidRPr="008B7B80" w:rsidRDefault="008B7B80" w:rsidP="008B7B80">
            <w:pPr>
              <w:pStyle w:val="ConsPlusNormal"/>
              <w:contextualSpacing/>
              <w:rPr>
                <w:rFonts w:ascii="Times New Roman" w:hAnsi="Times New Roman" w:cs="Times New Roman"/>
                <w:sz w:val="28"/>
                <w:szCs w:val="28"/>
              </w:rPr>
            </w:pPr>
          </w:p>
        </w:tc>
      </w:tr>
      <w:tr w:rsidR="008B7B80" w:rsidRPr="008B7B80">
        <w:tc>
          <w:tcPr>
            <w:tcW w:w="624" w:type="dxa"/>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3.</w:t>
            </w:r>
          </w:p>
        </w:tc>
        <w:tc>
          <w:tcPr>
            <w:tcW w:w="1757" w:type="dxa"/>
          </w:tcPr>
          <w:p w:rsidR="008B7B80" w:rsidRPr="008B7B80" w:rsidRDefault="008B7B80" w:rsidP="008B7B80">
            <w:pPr>
              <w:pStyle w:val="ConsPlusNormal"/>
              <w:contextualSpacing/>
              <w:rPr>
                <w:rFonts w:ascii="Times New Roman" w:hAnsi="Times New Roman" w:cs="Times New Roman"/>
                <w:sz w:val="28"/>
                <w:szCs w:val="28"/>
              </w:rPr>
            </w:pPr>
          </w:p>
        </w:tc>
        <w:tc>
          <w:tcPr>
            <w:tcW w:w="1474" w:type="dxa"/>
          </w:tcPr>
          <w:p w:rsidR="008B7B80" w:rsidRPr="008B7B80" w:rsidRDefault="008B7B80" w:rsidP="008B7B80">
            <w:pPr>
              <w:pStyle w:val="ConsPlusNormal"/>
              <w:contextualSpacing/>
              <w:rPr>
                <w:rFonts w:ascii="Times New Roman" w:hAnsi="Times New Roman" w:cs="Times New Roman"/>
                <w:sz w:val="28"/>
                <w:szCs w:val="28"/>
              </w:rPr>
            </w:pPr>
          </w:p>
        </w:tc>
        <w:tc>
          <w:tcPr>
            <w:tcW w:w="1871" w:type="dxa"/>
          </w:tcPr>
          <w:p w:rsidR="008B7B80" w:rsidRPr="008B7B80" w:rsidRDefault="008B7B80" w:rsidP="008B7B80">
            <w:pPr>
              <w:pStyle w:val="ConsPlusNormal"/>
              <w:contextualSpacing/>
              <w:rPr>
                <w:rFonts w:ascii="Times New Roman" w:hAnsi="Times New Roman" w:cs="Times New Roman"/>
                <w:sz w:val="28"/>
                <w:szCs w:val="28"/>
              </w:rPr>
            </w:pPr>
          </w:p>
        </w:tc>
        <w:tc>
          <w:tcPr>
            <w:tcW w:w="1587" w:type="dxa"/>
          </w:tcPr>
          <w:p w:rsidR="008B7B80" w:rsidRPr="008B7B80" w:rsidRDefault="008B7B80" w:rsidP="008B7B80">
            <w:pPr>
              <w:pStyle w:val="ConsPlusNormal"/>
              <w:contextualSpacing/>
              <w:rPr>
                <w:rFonts w:ascii="Times New Roman" w:hAnsi="Times New Roman" w:cs="Times New Roman"/>
                <w:sz w:val="28"/>
                <w:szCs w:val="28"/>
              </w:rPr>
            </w:pPr>
          </w:p>
        </w:tc>
        <w:tc>
          <w:tcPr>
            <w:tcW w:w="1757" w:type="dxa"/>
          </w:tcPr>
          <w:p w:rsidR="008B7B80" w:rsidRPr="008B7B80" w:rsidRDefault="008B7B80" w:rsidP="008B7B80">
            <w:pPr>
              <w:pStyle w:val="ConsPlusNormal"/>
              <w:contextualSpacing/>
              <w:rPr>
                <w:rFonts w:ascii="Times New Roman" w:hAnsi="Times New Roman" w:cs="Times New Roman"/>
                <w:sz w:val="28"/>
                <w:szCs w:val="28"/>
              </w:rPr>
            </w:pPr>
          </w:p>
        </w:tc>
      </w:tr>
    </w:tbl>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contextualSpacing/>
        <w:jc w:val="right"/>
        <w:outlineLvl w:val="0"/>
        <w:rPr>
          <w:rFonts w:ascii="Times New Roman" w:hAnsi="Times New Roman" w:cs="Times New Roman"/>
          <w:sz w:val="28"/>
          <w:szCs w:val="28"/>
        </w:rPr>
      </w:pPr>
      <w:r w:rsidRPr="008B7B80">
        <w:rPr>
          <w:rFonts w:ascii="Times New Roman" w:hAnsi="Times New Roman" w:cs="Times New Roman"/>
          <w:sz w:val="28"/>
          <w:szCs w:val="28"/>
        </w:rPr>
        <w:t>Приложение N 3</w:t>
      </w: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contextualSpacing/>
        <w:jc w:val="center"/>
        <w:rPr>
          <w:rFonts w:ascii="Times New Roman" w:hAnsi="Times New Roman" w:cs="Times New Roman"/>
          <w:sz w:val="28"/>
          <w:szCs w:val="28"/>
        </w:rPr>
      </w:pPr>
      <w:bookmarkStart w:id="11" w:name="P409"/>
      <w:bookmarkEnd w:id="11"/>
      <w:r w:rsidRPr="008B7B80">
        <w:rPr>
          <w:rFonts w:ascii="Times New Roman" w:hAnsi="Times New Roman" w:cs="Times New Roman"/>
          <w:sz w:val="28"/>
          <w:szCs w:val="28"/>
        </w:rPr>
        <w:t>Рекомендуемая форма</w:t>
      </w:r>
    </w:p>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плана (реестра) мер, направленных на минимизацию</w:t>
      </w:r>
    </w:p>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коррупционных рисков, возникающих при осуществлении закупок</w:t>
      </w:r>
    </w:p>
    <w:p w:rsidR="008B7B80" w:rsidRPr="008B7B80" w:rsidRDefault="008B7B80" w:rsidP="008B7B80">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57"/>
        <w:gridCol w:w="1474"/>
        <w:gridCol w:w="1984"/>
        <w:gridCol w:w="1587"/>
        <w:gridCol w:w="1644"/>
      </w:tblGrid>
      <w:tr w:rsidR="008B7B80" w:rsidRPr="008B7B80">
        <w:tc>
          <w:tcPr>
            <w:tcW w:w="624" w:type="dxa"/>
          </w:tcPr>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N п/п</w:t>
            </w:r>
          </w:p>
        </w:tc>
        <w:tc>
          <w:tcPr>
            <w:tcW w:w="1757" w:type="dxa"/>
          </w:tcPr>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Наименование меры по минимизации коррупционных рисков</w:t>
            </w:r>
          </w:p>
        </w:tc>
        <w:tc>
          <w:tcPr>
            <w:tcW w:w="1474" w:type="dxa"/>
          </w:tcPr>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 xml:space="preserve">Краткое наименование </w:t>
            </w:r>
            <w:proofErr w:type="spellStart"/>
            <w:r w:rsidRPr="008B7B80">
              <w:rPr>
                <w:rFonts w:ascii="Times New Roman" w:hAnsi="Times New Roman" w:cs="Times New Roman"/>
                <w:sz w:val="28"/>
                <w:szCs w:val="28"/>
              </w:rPr>
              <w:t>минимизируемого</w:t>
            </w:r>
            <w:proofErr w:type="spellEnd"/>
            <w:r w:rsidRPr="008B7B80">
              <w:rPr>
                <w:rFonts w:ascii="Times New Roman" w:hAnsi="Times New Roman" w:cs="Times New Roman"/>
                <w:sz w:val="28"/>
                <w:szCs w:val="28"/>
              </w:rPr>
              <w:t xml:space="preserve"> коррупционного риска</w:t>
            </w:r>
          </w:p>
        </w:tc>
        <w:tc>
          <w:tcPr>
            <w:tcW w:w="1984" w:type="dxa"/>
          </w:tcPr>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Срок (периодичность) реализации</w:t>
            </w:r>
          </w:p>
        </w:tc>
        <w:tc>
          <w:tcPr>
            <w:tcW w:w="1587" w:type="dxa"/>
          </w:tcPr>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Ответственный за реализацию служащий (работник)</w:t>
            </w:r>
          </w:p>
        </w:tc>
        <w:tc>
          <w:tcPr>
            <w:tcW w:w="1644" w:type="dxa"/>
          </w:tcPr>
          <w:p w:rsidR="008B7B80" w:rsidRPr="008B7B80" w:rsidRDefault="008B7B80" w:rsidP="008B7B80">
            <w:pPr>
              <w:pStyle w:val="ConsPlusNormal"/>
              <w:contextualSpacing/>
              <w:jc w:val="center"/>
              <w:rPr>
                <w:rFonts w:ascii="Times New Roman" w:hAnsi="Times New Roman" w:cs="Times New Roman"/>
                <w:sz w:val="28"/>
                <w:szCs w:val="28"/>
              </w:rPr>
            </w:pPr>
            <w:r w:rsidRPr="008B7B80">
              <w:rPr>
                <w:rFonts w:ascii="Times New Roman" w:hAnsi="Times New Roman" w:cs="Times New Roman"/>
                <w:sz w:val="28"/>
                <w:szCs w:val="28"/>
              </w:rPr>
              <w:t>Планируемый результат</w:t>
            </w:r>
          </w:p>
        </w:tc>
      </w:tr>
      <w:tr w:rsidR="008B7B80" w:rsidRPr="008B7B80">
        <w:tc>
          <w:tcPr>
            <w:tcW w:w="624" w:type="dxa"/>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1.</w:t>
            </w:r>
          </w:p>
        </w:tc>
        <w:tc>
          <w:tcPr>
            <w:tcW w:w="1757" w:type="dxa"/>
          </w:tcPr>
          <w:p w:rsidR="008B7B80" w:rsidRPr="008B7B80" w:rsidRDefault="008B7B80" w:rsidP="008B7B80">
            <w:pPr>
              <w:pStyle w:val="ConsPlusNormal"/>
              <w:contextualSpacing/>
              <w:rPr>
                <w:rFonts w:ascii="Times New Roman" w:hAnsi="Times New Roman" w:cs="Times New Roman"/>
                <w:sz w:val="28"/>
                <w:szCs w:val="28"/>
              </w:rPr>
            </w:pPr>
          </w:p>
        </w:tc>
        <w:tc>
          <w:tcPr>
            <w:tcW w:w="1474" w:type="dxa"/>
          </w:tcPr>
          <w:p w:rsidR="008B7B80" w:rsidRPr="008B7B80" w:rsidRDefault="008B7B80" w:rsidP="008B7B80">
            <w:pPr>
              <w:pStyle w:val="ConsPlusNormal"/>
              <w:contextualSpacing/>
              <w:rPr>
                <w:rFonts w:ascii="Times New Roman" w:hAnsi="Times New Roman" w:cs="Times New Roman"/>
                <w:sz w:val="28"/>
                <w:szCs w:val="28"/>
              </w:rPr>
            </w:pPr>
          </w:p>
        </w:tc>
        <w:tc>
          <w:tcPr>
            <w:tcW w:w="1984" w:type="dxa"/>
          </w:tcPr>
          <w:p w:rsidR="008B7B80" w:rsidRPr="008B7B80" w:rsidRDefault="008B7B80" w:rsidP="008B7B80">
            <w:pPr>
              <w:pStyle w:val="ConsPlusNormal"/>
              <w:contextualSpacing/>
              <w:rPr>
                <w:rFonts w:ascii="Times New Roman" w:hAnsi="Times New Roman" w:cs="Times New Roman"/>
                <w:sz w:val="28"/>
                <w:szCs w:val="28"/>
              </w:rPr>
            </w:pPr>
          </w:p>
        </w:tc>
        <w:tc>
          <w:tcPr>
            <w:tcW w:w="1587" w:type="dxa"/>
          </w:tcPr>
          <w:p w:rsidR="008B7B80" w:rsidRPr="008B7B80" w:rsidRDefault="008B7B80" w:rsidP="008B7B80">
            <w:pPr>
              <w:pStyle w:val="ConsPlusNormal"/>
              <w:contextualSpacing/>
              <w:rPr>
                <w:rFonts w:ascii="Times New Roman" w:hAnsi="Times New Roman" w:cs="Times New Roman"/>
                <w:sz w:val="28"/>
                <w:szCs w:val="28"/>
              </w:rPr>
            </w:pPr>
          </w:p>
        </w:tc>
        <w:tc>
          <w:tcPr>
            <w:tcW w:w="1644" w:type="dxa"/>
          </w:tcPr>
          <w:p w:rsidR="008B7B80" w:rsidRPr="008B7B80" w:rsidRDefault="008B7B80" w:rsidP="008B7B80">
            <w:pPr>
              <w:pStyle w:val="ConsPlusNormal"/>
              <w:contextualSpacing/>
              <w:rPr>
                <w:rFonts w:ascii="Times New Roman" w:hAnsi="Times New Roman" w:cs="Times New Roman"/>
                <w:sz w:val="28"/>
                <w:szCs w:val="28"/>
              </w:rPr>
            </w:pPr>
          </w:p>
        </w:tc>
      </w:tr>
      <w:tr w:rsidR="008B7B80" w:rsidRPr="008B7B80">
        <w:tc>
          <w:tcPr>
            <w:tcW w:w="624" w:type="dxa"/>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2.</w:t>
            </w:r>
          </w:p>
        </w:tc>
        <w:tc>
          <w:tcPr>
            <w:tcW w:w="1757" w:type="dxa"/>
          </w:tcPr>
          <w:p w:rsidR="008B7B80" w:rsidRPr="008B7B80" w:rsidRDefault="008B7B80" w:rsidP="008B7B80">
            <w:pPr>
              <w:pStyle w:val="ConsPlusNormal"/>
              <w:contextualSpacing/>
              <w:rPr>
                <w:rFonts w:ascii="Times New Roman" w:hAnsi="Times New Roman" w:cs="Times New Roman"/>
                <w:sz w:val="28"/>
                <w:szCs w:val="28"/>
              </w:rPr>
            </w:pPr>
          </w:p>
        </w:tc>
        <w:tc>
          <w:tcPr>
            <w:tcW w:w="1474" w:type="dxa"/>
          </w:tcPr>
          <w:p w:rsidR="008B7B80" w:rsidRPr="008B7B80" w:rsidRDefault="008B7B80" w:rsidP="008B7B80">
            <w:pPr>
              <w:pStyle w:val="ConsPlusNormal"/>
              <w:contextualSpacing/>
              <w:rPr>
                <w:rFonts w:ascii="Times New Roman" w:hAnsi="Times New Roman" w:cs="Times New Roman"/>
                <w:sz w:val="28"/>
                <w:szCs w:val="28"/>
              </w:rPr>
            </w:pPr>
          </w:p>
        </w:tc>
        <w:tc>
          <w:tcPr>
            <w:tcW w:w="1984" w:type="dxa"/>
          </w:tcPr>
          <w:p w:rsidR="008B7B80" w:rsidRPr="008B7B80" w:rsidRDefault="008B7B80" w:rsidP="008B7B80">
            <w:pPr>
              <w:pStyle w:val="ConsPlusNormal"/>
              <w:contextualSpacing/>
              <w:rPr>
                <w:rFonts w:ascii="Times New Roman" w:hAnsi="Times New Roman" w:cs="Times New Roman"/>
                <w:sz w:val="28"/>
                <w:szCs w:val="28"/>
              </w:rPr>
            </w:pPr>
          </w:p>
        </w:tc>
        <w:tc>
          <w:tcPr>
            <w:tcW w:w="1587" w:type="dxa"/>
          </w:tcPr>
          <w:p w:rsidR="008B7B80" w:rsidRPr="008B7B80" w:rsidRDefault="008B7B80" w:rsidP="008B7B80">
            <w:pPr>
              <w:pStyle w:val="ConsPlusNormal"/>
              <w:contextualSpacing/>
              <w:rPr>
                <w:rFonts w:ascii="Times New Roman" w:hAnsi="Times New Roman" w:cs="Times New Roman"/>
                <w:sz w:val="28"/>
                <w:szCs w:val="28"/>
              </w:rPr>
            </w:pPr>
          </w:p>
        </w:tc>
        <w:tc>
          <w:tcPr>
            <w:tcW w:w="1644" w:type="dxa"/>
          </w:tcPr>
          <w:p w:rsidR="008B7B80" w:rsidRPr="008B7B80" w:rsidRDefault="008B7B80" w:rsidP="008B7B80">
            <w:pPr>
              <w:pStyle w:val="ConsPlusNormal"/>
              <w:contextualSpacing/>
              <w:rPr>
                <w:rFonts w:ascii="Times New Roman" w:hAnsi="Times New Roman" w:cs="Times New Roman"/>
                <w:sz w:val="28"/>
                <w:szCs w:val="28"/>
              </w:rPr>
            </w:pPr>
          </w:p>
        </w:tc>
      </w:tr>
      <w:tr w:rsidR="008B7B80" w:rsidRPr="008B7B80">
        <w:tc>
          <w:tcPr>
            <w:tcW w:w="624" w:type="dxa"/>
          </w:tcPr>
          <w:p w:rsidR="008B7B80" w:rsidRPr="008B7B80" w:rsidRDefault="008B7B80" w:rsidP="008B7B80">
            <w:pPr>
              <w:pStyle w:val="ConsPlusNormal"/>
              <w:contextualSpacing/>
              <w:rPr>
                <w:rFonts w:ascii="Times New Roman" w:hAnsi="Times New Roman" w:cs="Times New Roman"/>
                <w:sz w:val="28"/>
                <w:szCs w:val="28"/>
              </w:rPr>
            </w:pPr>
            <w:r w:rsidRPr="008B7B80">
              <w:rPr>
                <w:rFonts w:ascii="Times New Roman" w:hAnsi="Times New Roman" w:cs="Times New Roman"/>
                <w:sz w:val="28"/>
                <w:szCs w:val="28"/>
              </w:rPr>
              <w:t>3.</w:t>
            </w:r>
          </w:p>
        </w:tc>
        <w:tc>
          <w:tcPr>
            <w:tcW w:w="1757" w:type="dxa"/>
          </w:tcPr>
          <w:p w:rsidR="008B7B80" w:rsidRPr="008B7B80" w:rsidRDefault="008B7B80" w:rsidP="008B7B80">
            <w:pPr>
              <w:pStyle w:val="ConsPlusNormal"/>
              <w:contextualSpacing/>
              <w:rPr>
                <w:rFonts w:ascii="Times New Roman" w:hAnsi="Times New Roman" w:cs="Times New Roman"/>
                <w:sz w:val="28"/>
                <w:szCs w:val="28"/>
              </w:rPr>
            </w:pPr>
          </w:p>
        </w:tc>
        <w:tc>
          <w:tcPr>
            <w:tcW w:w="1474" w:type="dxa"/>
          </w:tcPr>
          <w:p w:rsidR="008B7B80" w:rsidRPr="008B7B80" w:rsidRDefault="008B7B80" w:rsidP="008B7B80">
            <w:pPr>
              <w:pStyle w:val="ConsPlusNormal"/>
              <w:contextualSpacing/>
              <w:rPr>
                <w:rFonts w:ascii="Times New Roman" w:hAnsi="Times New Roman" w:cs="Times New Roman"/>
                <w:sz w:val="28"/>
                <w:szCs w:val="28"/>
              </w:rPr>
            </w:pPr>
          </w:p>
        </w:tc>
        <w:tc>
          <w:tcPr>
            <w:tcW w:w="1984" w:type="dxa"/>
          </w:tcPr>
          <w:p w:rsidR="008B7B80" w:rsidRPr="008B7B80" w:rsidRDefault="008B7B80" w:rsidP="008B7B80">
            <w:pPr>
              <w:pStyle w:val="ConsPlusNormal"/>
              <w:contextualSpacing/>
              <w:rPr>
                <w:rFonts w:ascii="Times New Roman" w:hAnsi="Times New Roman" w:cs="Times New Roman"/>
                <w:sz w:val="28"/>
                <w:szCs w:val="28"/>
              </w:rPr>
            </w:pPr>
          </w:p>
        </w:tc>
        <w:tc>
          <w:tcPr>
            <w:tcW w:w="1587" w:type="dxa"/>
          </w:tcPr>
          <w:p w:rsidR="008B7B80" w:rsidRPr="008B7B80" w:rsidRDefault="008B7B80" w:rsidP="008B7B80">
            <w:pPr>
              <w:pStyle w:val="ConsPlusNormal"/>
              <w:contextualSpacing/>
              <w:rPr>
                <w:rFonts w:ascii="Times New Roman" w:hAnsi="Times New Roman" w:cs="Times New Roman"/>
                <w:sz w:val="28"/>
                <w:szCs w:val="28"/>
              </w:rPr>
            </w:pPr>
          </w:p>
        </w:tc>
        <w:tc>
          <w:tcPr>
            <w:tcW w:w="1644" w:type="dxa"/>
          </w:tcPr>
          <w:p w:rsidR="008B7B80" w:rsidRPr="008B7B80" w:rsidRDefault="008B7B80" w:rsidP="008B7B80">
            <w:pPr>
              <w:pStyle w:val="ConsPlusNormal"/>
              <w:contextualSpacing/>
              <w:rPr>
                <w:rFonts w:ascii="Times New Roman" w:hAnsi="Times New Roman" w:cs="Times New Roman"/>
                <w:sz w:val="28"/>
                <w:szCs w:val="28"/>
              </w:rPr>
            </w:pPr>
          </w:p>
        </w:tc>
      </w:tr>
    </w:tbl>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contextualSpacing/>
        <w:jc w:val="both"/>
        <w:rPr>
          <w:rFonts w:ascii="Times New Roman" w:hAnsi="Times New Roman" w:cs="Times New Roman"/>
          <w:sz w:val="28"/>
          <w:szCs w:val="28"/>
        </w:rPr>
      </w:pPr>
    </w:p>
    <w:p w:rsidR="008B7B80" w:rsidRPr="008B7B80" w:rsidRDefault="008B7B80" w:rsidP="008B7B80">
      <w:pPr>
        <w:pStyle w:val="ConsPlusNormal"/>
        <w:pBdr>
          <w:top w:val="single" w:sz="6" w:space="0" w:color="auto"/>
        </w:pBdr>
        <w:spacing w:before="100" w:after="100"/>
        <w:contextualSpacing/>
        <w:jc w:val="both"/>
        <w:rPr>
          <w:rFonts w:ascii="Times New Roman" w:hAnsi="Times New Roman" w:cs="Times New Roman"/>
          <w:sz w:val="28"/>
          <w:szCs w:val="28"/>
        </w:rPr>
      </w:pPr>
    </w:p>
    <w:p w:rsidR="00BF483B" w:rsidRPr="008B7B80" w:rsidRDefault="00BF483B" w:rsidP="008B7B80">
      <w:pPr>
        <w:contextualSpacing/>
        <w:rPr>
          <w:rFonts w:ascii="Times New Roman" w:hAnsi="Times New Roman" w:cs="Times New Roman"/>
          <w:sz w:val="28"/>
          <w:szCs w:val="28"/>
        </w:rPr>
      </w:pPr>
    </w:p>
    <w:sectPr w:rsidR="00BF483B" w:rsidRPr="008B7B80" w:rsidSect="008B7B80">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C52" w:rsidRDefault="00B76C52" w:rsidP="008B7B80">
      <w:pPr>
        <w:spacing w:after="0" w:line="240" w:lineRule="auto"/>
      </w:pPr>
      <w:r>
        <w:separator/>
      </w:r>
    </w:p>
  </w:endnote>
  <w:endnote w:type="continuationSeparator" w:id="0">
    <w:p w:rsidR="00B76C52" w:rsidRDefault="00B76C52" w:rsidP="008B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C52" w:rsidRDefault="00B76C52" w:rsidP="008B7B80">
      <w:pPr>
        <w:spacing w:after="0" w:line="240" w:lineRule="auto"/>
      </w:pPr>
      <w:r>
        <w:separator/>
      </w:r>
    </w:p>
  </w:footnote>
  <w:footnote w:type="continuationSeparator" w:id="0">
    <w:p w:rsidR="00B76C52" w:rsidRDefault="00B76C52" w:rsidP="008B7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778407"/>
      <w:docPartObj>
        <w:docPartGallery w:val="Page Numbers (Top of Page)"/>
        <w:docPartUnique/>
      </w:docPartObj>
    </w:sdtPr>
    <w:sdtEndPr>
      <w:rPr>
        <w:rFonts w:ascii="Times New Roman" w:hAnsi="Times New Roman" w:cs="Times New Roman"/>
        <w:sz w:val="20"/>
        <w:szCs w:val="20"/>
      </w:rPr>
    </w:sdtEndPr>
    <w:sdtContent>
      <w:p w:rsidR="008B7B80" w:rsidRPr="008B7B80" w:rsidRDefault="008B7B80">
        <w:pPr>
          <w:pStyle w:val="a3"/>
          <w:jc w:val="center"/>
          <w:rPr>
            <w:rFonts w:ascii="Times New Roman" w:hAnsi="Times New Roman" w:cs="Times New Roman"/>
            <w:sz w:val="20"/>
            <w:szCs w:val="20"/>
          </w:rPr>
        </w:pPr>
        <w:r w:rsidRPr="008B7B80">
          <w:rPr>
            <w:rFonts w:ascii="Times New Roman" w:hAnsi="Times New Roman" w:cs="Times New Roman"/>
            <w:sz w:val="20"/>
            <w:szCs w:val="20"/>
          </w:rPr>
          <w:fldChar w:fldCharType="begin"/>
        </w:r>
        <w:r w:rsidRPr="008B7B80">
          <w:rPr>
            <w:rFonts w:ascii="Times New Roman" w:hAnsi="Times New Roman" w:cs="Times New Roman"/>
            <w:sz w:val="20"/>
            <w:szCs w:val="20"/>
          </w:rPr>
          <w:instrText>PAGE   \* MERGEFORMAT</w:instrText>
        </w:r>
        <w:r w:rsidRPr="008B7B80">
          <w:rPr>
            <w:rFonts w:ascii="Times New Roman" w:hAnsi="Times New Roman" w:cs="Times New Roman"/>
            <w:sz w:val="20"/>
            <w:szCs w:val="20"/>
          </w:rPr>
          <w:fldChar w:fldCharType="separate"/>
        </w:r>
        <w:r w:rsidR="008F7F92">
          <w:rPr>
            <w:rFonts w:ascii="Times New Roman" w:hAnsi="Times New Roman" w:cs="Times New Roman"/>
            <w:noProof/>
            <w:sz w:val="20"/>
            <w:szCs w:val="20"/>
          </w:rPr>
          <w:t>21</w:t>
        </w:r>
        <w:r w:rsidRPr="008B7B80">
          <w:rPr>
            <w:rFonts w:ascii="Times New Roman" w:hAnsi="Times New Roman" w:cs="Times New Roman"/>
            <w:sz w:val="20"/>
            <w:szCs w:val="20"/>
          </w:rPr>
          <w:fldChar w:fldCharType="end"/>
        </w:r>
      </w:p>
    </w:sdtContent>
  </w:sdt>
  <w:p w:rsidR="008B7B80" w:rsidRDefault="008B7B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80"/>
    <w:rsid w:val="008B7B80"/>
    <w:rsid w:val="008F7F92"/>
    <w:rsid w:val="00B76C52"/>
    <w:rsid w:val="00BF483B"/>
    <w:rsid w:val="00DB6B6D"/>
    <w:rsid w:val="00FA50E7"/>
    <w:rsid w:val="00FC2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42A38-25E5-420B-AD41-758629E6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B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7B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7B8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8B7B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7B80"/>
  </w:style>
  <w:style w:type="paragraph" w:styleId="a5">
    <w:name w:val="footer"/>
    <w:basedOn w:val="a"/>
    <w:link w:val="a6"/>
    <w:uiPriority w:val="99"/>
    <w:unhideWhenUsed/>
    <w:rsid w:val="008B7B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7B80"/>
  </w:style>
  <w:style w:type="paragraph" w:styleId="a7">
    <w:name w:val="Balloon Text"/>
    <w:basedOn w:val="a"/>
    <w:link w:val="a8"/>
    <w:uiPriority w:val="99"/>
    <w:semiHidden/>
    <w:unhideWhenUsed/>
    <w:rsid w:val="008F7F9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7F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AA3082850ABD06D1B9761B75A22C2E7CAACA6E064330D2118D1B81ECE8F6E140FAF397CE057AFCCCF3B64BADAD1C6A7B310DF31703DE68w8L0I" TargetMode="External"/><Relationship Id="rId13" Type="http://schemas.openxmlformats.org/officeDocument/2006/relationships/hyperlink" Target="consultantplus://offline/ref=E8AA3082850ABD06D1B9761B75A22C2E7DA7CB6E074B30D2118D1B81ECE8F6E140FAF397CE057AF4CFF3B64BADAD1C6A7B310DF31703DE68w8L0I" TargetMode="External"/><Relationship Id="rId18" Type="http://schemas.openxmlformats.org/officeDocument/2006/relationships/hyperlink" Target="consultantplus://offline/ref=E8AA3082850ABD06D1B9761B75A22C2E7CAACA6E064330D2118D1B81ECE8F6E140FAF397CE027FFE9AA9A64FE4F910757B2D12F30903wDLEI" TargetMode="External"/><Relationship Id="rId26"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hyperlink" Target="consultantplus://offline/ref=E8AA3082850ABD06D1B9761B75A22C2E7CAACA6E064330D2118D1B81ECE8F6E140FAF397CE0479F5C7F3B64BADAD1C6A7B310DF31703DE68w8L0I" TargetMode="External"/><Relationship Id="rId7" Type="http://schemas.openxmlformats.org/officeDocument/2006/relationships/hyperlink" Target="consultantplus://offline/ref=E8AA3082850ABD06D1B9761B75A22C2E7CAFCA690A4130D2118D1B81ECE8F6E140FAF397CE057BF5C6F3B64BADAD1C6A7B310DF31703DE68w8L0I" TargetMode="External"/><Relationship Id="rId12" Type="http://schemas.openxmlformats.org/officeDocument/2006/relationships/hyperlink" Target="consultantplus://offline/ref=E8AA3082850ABD06D1B9761B75A22C2E7DA8C368084A30D2118D1B81ECE8F6E140FAF397CE057BF4C8F3B64BADAD1C6A7B310DF31703DE68w8L0I" TargetMode="External"/><Relationship Id="rId17" Type="http://schemas.openxmlformats.org/officeDocument/2006/relationships/hyperlink" Target="consultantplus://offline/ref=E8AA3082850ABD06D1B9761B75A22C2E7CAACA6E064330D2118D1B81ECE8F6E140FAF397CE057BF7CDF3B64BADAD1C6A7B310DF31703DE68w8L0I" TargetMode="External"/><Relationship Id="rId25"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hyperlink" Target="consultantplus://offline/ref=E8AA3082850ABD06D1B9761B75A22C2E7CAAC962084330D2118D1B81ECE8F6E152FAAB9BCF0464F4CCE6E01AEBwFL8I" TargetMode="External"/><Relationship Id="rId20" Type="http://schemas.openxmlformats.org/officeDocument/2006/relationships/hyperlink" Target="consultantplus://offline/ref=E8AA3082850ABD06D1B9761B75A22C2E7CAACA6E064330D2118D1B81ECE8F6E140FAF397CF047CFE9AA9A64FE4F910757B2D12F30903wDLEI"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hyperlink" Target="consultantplus://offline/ref=E8AA3082850ABD06D1B9761B75A22C2E7CAACA680B4530D2118D1B81ECE8F6E140FAF39FCD0E2EA48AADEF1BE8E61069642D0CF3w0L9I" TargetMode="External"/><Relationship Id="rId24"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yperlink" Target="consultantplus://offline/ref=E8AA3082850ABD06D1B9761B75A22C2E7CAAC962084330D2118D1B81ECE8F6E152FAAB9BCF0464F4CCE6E01AEBwFL8I" TargetMode="Externa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hyperlink" Target="consultantplus://offline/ref=E8AA3082850ABD06D1B9761B75A22C2E7CAAC363074130D2118D1B81ECE8F6E152FAAB9BCF0464F4CCE6E01AEBwFL8I" TargetMode="External"/><Relationship Id="rId19" Type="http://schemas.openxmlformats.org/officeDocument/2006/relationships/hyperlink" Target="consultantplus://offline/ref=E8AA3082850ABD06D1B9761B75A22C2E7CAACA6E064330D2118D1B81ECE8F6E140FAF394C90271A19FBCB717E8F90F6A78310EF10Bw0L1I"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E8AA3082850ABD06D1B9761B75A22C2E7CAACA6E064330D2118D1B81ECE8F6E140FAF397CE057AF7C9F3B64BADAD1C6A7B310DF31703DE68w8L0I" TargetMode="External"/><Relationship Id="rId14" Type="http://schemas.openxmlformats.org/officeDocument/2006/relationships/hyperlink" Target="consultantplus://offline/ref=E8AA3082850ABD06D1B9761B75A22C2E7CAACA6E064330D2118D1B81ECE8F6E152FAAB9BCF0464F4CCE6E01AEBwFL8I" TargetMode="External"/><Relationship Id="rId22" Type="http://schemas.openxmlformats.org/officeDocument/2006/relationships/image" Target="media/image1.jpeg"/><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7423</Words>
  <Characters>42313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49637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Буркатская Людмила Федоровна</dc:creator>
  <cp:keywords/>
  <dc:description/>
  <cp:lastModifiedBy>Кишларь Елена Валерьевна</cp:lastModifiedBy>
  <cp:revision>2</cp:revision>
  <cp:lastPrinted>2020-12-31T02:25:00Z</cp:lastPrinted>
  <dcterms:created xsi:type="dcterms:W3CDTF">2020-12-31T03:36:00Z</dcterms:created>
  <dcterms:modified xsi:type="dcterms:W3CDTF">2020-12-31T03:36:00Z</dcterms:modified>
</cp:coreProperties>
</file>