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5A" w:rsidRPr="00642A5A" w:rsidRDefault="00642A5A" w:rsidP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Pr="00642A5A" w:rsidRDefault="00642A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Утверждено</w:t>
      </w:r>
    </w:p>
    <w:p w:rsidR="00642A5A" w:rsidRPr="00642A5A" w:rsidRDefault="00642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приказом</w:t>
      </w:r>
    </w:p>
    <w:p w:rsidR="00642A5A" w:rsidRPr="00642A5A" w:rsidRDefault="00642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министерства природных ресурсов и</w:t>
      </w:r>
    </w:p>
    <w:p w:rsidR="00642A5A" w:rsidRPr="00642A5A" w:rsidRDefault="00642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экологии Новосибирской области</w:t>
      </w:r>
    </w:p>
    <w:p w:rsidR="00642A5A" w:rsidRPr="00642A5A" w:rsidRDefault="00642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от 13.04.2018 N 300</w:t>
      </w:r>
    </w:p>
    <w:p w:rsidR="00642A5A" w:rsidRP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Pr="00642A5A" w:rsidRDefault="00642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42A5A">
        <w:rPr>
          <w:rFonts w:ascii="Times New Roman" w:hAnsi="Times New Roman" w:cs="Times New Roman"/>
          <w:sz w:val="28"/>
          <w:szCs w:val="28"/>
        </w:rPr>
        <w:t>ПОЛОЖЕНИЕ</w:t>
      </w:r>
    </w:p>
    <w:p w:rsidR="00642A5A" w:rsidRPr="00642A5A" w:rsidRDefault="00642A5A" w:rsidP="00642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642A5A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5A">
        <w:rPr>
          <w:rFonts w:ascii="Times New Roman" w:hAnsi="Times New Roman" w:cs="Times New Roman"/>
          <w:sz w:val="28"/>
          <w:szCs w:val="28"/>
        </w:rPr>
        <w:t>КОНФЛИКТА ИНТЕРЕСОВ МИНИСТЕРСТВА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5A">
        <w:rPr>
          <w:rFonts w:ascii="Times New Roman" w:hAnsi="Times New Roman" w:cs="Times New Roman"/>
          <w:sz w:val="28"/>
          <w:szCs w:val="28"/>
        </w:rPr>
        <w:t>И ЭКОЛОГИИ НОВОСИБИРСКОЙ ОБЛАСТИ</w:t>
      </w:r>
    </w:p>
    <w:p w:rsidR="00642A5A" w:rsidRPr="00642A5A" w:rsidRDefault="00642A5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2A5A" w:rsidRPr="00642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5A" w:rsidRPr="00642A5A" w:rsidRDefault="00642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5A" w:rsidRPr="00642A5A" w:rsidRDefault="00642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A5A" w:rsidRPr="00642A5A" w:rsidRDefault="0064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42A5A" w:rsidRPr="00642A5A" w:rsidRDefault="0064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МПР Новосибирской области</w:t>
            </w:r>
          </w:p>
          <w:p w:rsidR="00642A5A" w:rsidRPr="00642A5A" w:rsidRDefault="0064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23.06.2020 </w:t>
            </w:r>
            <w:hyperlink r:id="rId4">
              <w:r w:rsidRPr="00642A5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654</w:t>
              </w:r>
            </w:hyperlink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08.02.2023 </w:t>
            </w:r>
            <w:hyperlink r:id="rId5">
              <w:r w:rsidRPr="00642A5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153-НПА</w:t>
              </w:r>
            </w:hyperlink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15.12.2023 </w:t>
            </w:r>
            <w:hyperlink r:id="rId6">
              <w:r w:rsidRPr="00642A5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1514-НПА</w:t>
              </w:r>
            </w:hyperlink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642A5A" w:rsidRPr="00642A5A" w:rsidRDefault="0064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17.05.2024 </w:t>
            </w:r>
            <w:hyperlink r:id="rId7">
              <w:r w:rsidRPr="00642A5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595-НПА</w:t>
              </w:r>
            </w:hyperlink>
            <w:r w:rsidRPr="00642A5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5A" w:rsidRPr="00642A5A" w:rsidRDefault="00642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A5A" w:rsidRP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P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 (далее - комиссия) разработан в соответствии с Федеральным </w:t>
      </w:r>
      <w:hyperlink r:id="rId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42A5A">
        <w:rPr>
          <w:rFonts w:ascii="Times New Roman" w:hAnsi="Times New Roman" w:cs="Times New Roman"/>
          <w:sz w:val="28"/>
          <w:szCs w:val="28"/>
        </w:rPr>
        <w:t>Основной задачей комиссии является: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обеспечение соблюдения государственными гражданскими служащими министерства природных ресурсов и экологии Новосибирской области (далее - министерство) ограничений и запретов, требований о предотвращении или урегулировании конфликта интересов, а также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исполнения ими обязанностей, установленных Федеральными законами от 25.12.2008 </w:t>
      </w:r>
      <w:hyperlink r:id="rId1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27.07.2004 </w:t>
      </w:r>
      <w:hyperlink r:id="rId14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N 79-ФЗ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 (далее - требования к служебному поведению и (или) требования об урегулировании конфликта интересов);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42A5A">
        <w:rPr>
          <w:rFonts w:ascii="Times New Roman" w:hAnsi="Times New Roman" w:cs="Times New Roman"/>
          <w:sz w:val="28"/>
          <w:szCs w:val="28"/>
        </w:rPr>
        <w:t>осуществление мер по предупреждению коррупции.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42A5A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в министерстве (за исключением гражданских служащих, замещающих должности гражданской службы заместителей министра природных ресурсов и экологии Новосибирской области) (далее - гражданские служащие).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42A5A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642A5A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642A5A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42A5A">
        <w:rPr>
          <w:rFonts w:ascii="Times New Roman" w:hAnsi="Times New Roman" w:cs="Times New Roman"/>
          <w:sz w:val="28"/>
          <w:szCs w:val="28"/>
        </w:rP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2) другие гражданские служащие, замещающие должности гражданской службы в министерстве;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A5A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642A5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642A5A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642A5A">
        <w:rPr>
          <w:rFonts w:ascii="Times New Roman" w:hAnsi="Times New Roman" w:cs="Times New Roman"/>
          <w:sz w:val="28"/>
          <w:szCs w:val="28"/>
        </w:rPr>
        <w:t xml:space="preserve">1) представление по решению министра природных ресурсов и экологии Новосибирской области (далее - министр) в соответствии с </w:t>
      </w:r>
      <w:hyperlink r:id="rId1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пунктом 25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642A5A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названного выше Положения;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642A5A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642A5A">
        <w:rPr>
          <w:rFonts w:ascii="Times New Roman" w:hAnsi="Times New Roman" w:cs="Times New Roman"/>
          <w:sz w:val="28"/>
          <w:szCs w:val="28"/>
        </w:rPr>
        <w:t>2) поступившее в отдел государственной гражданской службы и кадров управления правового, кадрового и документационного обеспечения министерства либо должностному лицу, ответственному за работу по профилактике коррупционных и иных правонарушений министерства (далее - подразделение по профилактике коррупционных и иных правонарушений министерства), в порядке, установленном приказом министерства: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23.06.2020 N 654)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  <w:r w:rsidRPr="00642A5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гражданской службы,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включенную в перечень должностей государственной гражданской службы министерства,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 w:rsidRPr="00642A5A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1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(далее - Положение о представлении сведений о доходах, об имуществе и обязательствах имущественного характера);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08.02.2023 N 153-НПА)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End w:id="9"/>
      <w:r w:rsidRPr="00642A5A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20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2"/>
      <w:bookmarkEnd w:id="10"/>
      <w:r w:rsidRPr="00642A5A">
        <w:rPr>
          <w:rFonts w:ascii="Times New Roman" w:hAnsi="Times New Roman" w:cs="Times New Roman"/>
          <w:sz w:val="28"/>
          <w:szCs w:val="28"/>
        </w:rPr>
        <w:t xml:space="preserve">уведомление гражданского служащего о возникновении личной заинтересованности при исполнении должностных обязанностей, которая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интересов;</w:t>
      </w:r>
    </w:p>
    <w:bookmarkStart w:id="11" w:name="P73"/>
    <w:bookmarkEnd w:id="11"/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fldChar w:fldCharType="begin"/>
      </w:r>
      <w:r w:rsidRPr="00642A5A">
        <w:rPr>
          <w:rFonts w:ascii="Times New Roman" w:hAnsi="Times New Roman" w:cs="Times New Roman"/>
          <w:sz w:val="28"/>
          <w:szCs w:val="28"/>
        </w:rPr>
        <w:instrText xml:space="preserve"> HYPERLINK \l "P214" \h </w:instrText>
      </w:r>
      <w:r w:rsidRPr="00642A5A">
        <w:rPr>
          <w:rFonts w:ascii="Times New Roman" w:hAnsi="Times New Roman" w:cs="Times New Roman"/>
          <w:sz w:val="28"/>
          <w:szCs w:val="28"/>
        </w:rPr>
        <w:fldChar w:fldCharType="separate"/>
      </w:r>
      <w:r w:rsidRPr="00642A5A">
        <w:rPr>
          <w:rFonts w:ascii="Times New Roman" w:hAnsi="Times New Roman" w:cs="Times New Roman"/>
          <w:color w:val="0000FF"/>
          <w:sz w:val="28"/>
          <w:szCs w:val="28"/>
        </w:rPr>
        <w:t>уведомление</w:t>
      </w:r>
      <w:r w:rsidRPr="00642A5A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642A5A">
        <w:rPr>
          <w:rFonts w:ascii="Times New Roman" w:hAnsi="Times New Roman" w:cs="Times New Roman"/>
          <w:sz w:val="28"/>
          <w:szCs w:val="28"/>
        </w:rPr>
        <w:t xml:space="preserve">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2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федеральными законами в целях противодействия коррупции, по форме согласно приложению к настоящему Положению;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17.05.2024 №</w:t>
      </w:r>
      <w:r w:rsidRPr="00642A5A">
        <w:rPr>
          <w:rFonts w:ascii="Times New Roman" w:hAnsi="Times New Roman" w:cs="Times New Roman"/>
          <w:sz w:val="28"/>
          <w:szCs w:val="28"/>
        </w:rPr>
        <w:t xml:space="preserve"> 595-НПА)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5"/>
      <w:bookmarkEnd w:id="12"/>
      <w:r w:rsidRPr="00642A5A">
        <w:rPr>
          <w:rFonts w:ascii="Times New Roman" w:hAnsi="Times New Roman" w:cs="Times New Roman"/>
          <w:sz w:val="28"/>
          <w:szCs w:val="28"/>
        </w:rPr>
        <w:t>3)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6"/>
      <w:bookmarkEnd w:id="13"/>
      <w:r w:rsidRPr="00642A5A">
        <w:rPr>
          <w:rFonts w:ascii="Times New Roman" w:hAnsi="Times New Roman" w:cs="Times New Roman"/>
          <w:sz w:val="28"/>
          <w:szCs w:val="28"/>
        </w:rPr>
        <w:t xml:space="preserve">4) 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7"/>
      <w:bookmarkEnd w:id="14"/>
      <w:r w:rsidRPr="00642A5A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24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2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642A5A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9"/>
      <w:bookmarkEnd w:id="15"/>
      <w:r>
        <w:rPr>
          <w:rFonts w:ascii="Times New Roman" w:hAnsi="Times New Roman" w:cs="Times New Roman"/>
          <w:sz w:val="28"/>
          <w:szCs w:val="28"/>
        </w:rPr>
        <w:t>13. 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в министерстве должность гражданской службы, в подразделение по профилактике коррупционных и иных правонарушений министерства.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lastRenderedPageBreak/>
        <w:t>В обращении гражданином указываются: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дата его рождения;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гражданской службы;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гражданской службы;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гражданско-правовой), предполагаемый срок его действия;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Подразделением по профилактике коррупционных и иных правонарушений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w:anchor="P6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2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приложению к Положению о представлении сведений о доходах, об имуществе и обязательствах имущественного характера.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Заявление представляется гражданским служащим (за исключением лиц, замещающих должности, определенные </w:t>
      </w:r>
      <w:hyperlink r:id="rId2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"б" пункта 7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 о представлении сведений о доходах, об имуществе и обязательствах имущественного характера) в подразделение по профилактике коррупционных и иных правонарушений министерства.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гражданского служащего, замещающего одну из должностей, указанных в </w:t>
      </w:r>
      <w:hyperlink r:id="rId30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"б" пункта 7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 о представлении сведений о доходах, об имуществе и обязательствах имущественного характера, представляется в орган Новосибирской области по профилактике коррупционных и иных правонарушений.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Заявление рассматривается подразделением по профилактике коррупционных и иных правонарушений министерства. По результатам рассмотрения заявления должностным лицом осуществляется подготовка мотивированного заключения.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(п. 14.1 введен </w:t>
      </w:r>
      <w:hyperlink r:id="rId3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08.02.2023 N 153-НПА)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8"/>
      <w:bookmarkEnd w:id="16"/>
      <w:r>
        <w:rPr>
          <w:rFonts w:ascii="Times New Roman" w:hAnsi="Times New Roman" w:cs="Times New Roman"/>
          <w:sz w:val="28"/>
          <w:szCs w:val="28"/>
        </w:rPr>
        <w:t>15. 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по профилактике коррупционных и иных правонарушений министерства, которое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3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9"/>
      <w:bookmarkEnd w:id="17"/>
      <w:r>
        <w:rPr>
          <w:rFonts w:ascii="Times New Roman" w:hAnsi="Times New Roman" w:cs="Times New Roman"/>
          <w:sz w:val="28"/>
          <w:szCs w:val="28"/>
        </w:rPr>
        <w:t>16. 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7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по профилактике коррупционных и иных правонарушений министерства, которое осуществляет подготовку мотивированного заключения по результатам рассмотрения уведомления.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0"/>
      <w:bookmarkEnd w:id="18"/>
      <w:r>
        <w:rPr>
          <w:rFonts w:ascii="Times New Roman" w:hAnsi="Times New Roman" w:cs="Times New Roman"/>
          <w:sz w:val="28"/>
          <w:szCs w:val="28"/>
        </w:rPr>
        <w:t>16.1. 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7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по профилактике коррупционных и иных правонарушений министерства, которое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34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(п. 16.1 введен </w:t>
      </w:r>
      <w:hyperlink r:id="rId3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15.12.2023 N 1514-НПА)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7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лицо подразделения по профилактике коррупционных и иных правонарушений министерства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3"/>
      <w:bookmarkEnd w:id="19"/>
      <w:r>
        <w:rPr>
          <w:rFonts w:ascii="Times New Roman" w:hAnsi="Times New Roman" w:cs="Times New Roman"/>
          <w:sz w:val="28"/>
          <w:szCs w:val="28"/>
        </w:rPr>
        <w:t>17.1. 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</w:t>
      </w:r>
      <w:hyperlink w:anchor="P6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подразделения по профилактике коррупционных и иных правонарушений министерства 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0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(п. 17.1 введен </w:t>
      </w:r>
      <w:hyperlink r:id="rId3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08.02.2023 N 153-НПА)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18. Мотивированные заключения, предусмотренные </w:t>
      </w:r>
      <w:hyperlink w:anchor="P7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16.1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17.1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15.12.2023 N 1514-НПА)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информацию, изложенную в обращениях, заявлениях или уведомлениях, указанных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шестом подпункта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(в ред. приказов МПР Новосибирской области от 08.02.2023 </w:t>
      </w:r>
      <w:hyperlink r:id="rId3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N 153-НПА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от 15.12.2023 </w:t>
      </w:r>
      <w:hyperlink r:id="rId3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N 1514-НПА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>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2) информацию, полученную от государственных органов, органов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заинтересованных организаций на основании запросов;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обращений, заявлений и уведомлений, указанных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шестом подпункта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пунктами 28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33.1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2A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2A5A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40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15.12.2023 N 1514-НПА)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642A5A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информации, содержащей основание для проведения заседания комиссии: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министерства, и с результатами ее проверки;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обращений, заявлений и уведомлений, указанных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пунктами 28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2A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2A5A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4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08.02.2023 N 153-НПА)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8"/>
      <w:bookmarkEnd w:id="20"/>
      <w:r w:rsidRPr="00642A5A"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заявлений, указанных в </w:t>
      </w:r>
      <w:hyperlink w:anchor="P6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9"/>
      <w:bookmarkEnd w:id="21"/>
      <w:r>
        <w:rPr>
          <w:rFonts w:ascii="Times New Roman" w:hAnsi="Times New Roman" w:cs="Times New Roman"/>
          <w:sz w:val="28"/>
          <w:szCs w:val="28"/>
        </w:rPr>
        <w:t>21. 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гражданского служащего, в отношении которого рассматривается вопрос о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 (территориальном органе министерства).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6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23. Заседания комиссии могут проводиться в отсутствие гражданского служащего или гражданина в случае: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6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642A5A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гражданского служащего или гражданина, замещавшего в министерстве должность гражданской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Pr="00642A5A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6"/>
      <w:bookmarkEnd w:id="22"/>
      <w:r>
        <w:rPr>
          <w:rFonts w:ascii="Times New Roman" w:hAnsi="Times New Roman" w:cs="Times New Roman"/>
          <w:sz w:val="28"/>
          <w:szCs w:val="28"/>
        </w:rPr>
        <w:t>26. 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64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1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7"/>
      <w:bookmarkEnd w:id="23"/>
      <w:r w:rsidRPr="00642A5A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 в соответствии с </w:t>
      </w:r>
      <w:hyperlink r:id="rId4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гражданским служащим в соответствии с </w:t>
      </w:r>
      <w:hyperlink r:id="rId4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2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гражданскому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служащему меру ответственности, предусмотренную нормативными правовыми актами Российской Федерации.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6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1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2"/>
      <w:bookmarkEnd w:id="24"/>
      <w:r>
        <w:rPr>
          <w:rFonts w:ascii="Times New Roman" w:hAnsi="Times New Roman" w:cs="Times New Roman"/>
          <w:sz w:val="28"/>
          <w:szCs w:val="28"/>
        </w:rPr>
        <w:t>28. 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5"/>
      <w:bookmarkEnd w:id="25"/>
      <w:r w:rsidRPr="00642A5A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в министерстве должность гражданской службы,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38"/>
      <w:bookmarkEnd w:id="26"/>
      <w:r>
        <w:rPr>
          <w:rFonts w:ascii="Times New Roman" w:hAnsi="Times New Roman" w:cs="Times New Roman"/>
          <w:sz w:val="28"/>
          <w:szCs w:val="28"/>
        </w:rPr>
        <w:t>30. 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6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7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4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4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министру применить к гражданскому служащему конкретную меру ответственности и (или) направить материалы, полученные в результате осуществления контроля за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49"/>
      <w:bookmarkEnd w:id="27"/>
      <w:r>
        <w:rPr>
          <w:rFonts w:ascii="Times New Roman" w:hAnsi="Times New Roman" w:cs="Times New Roman"/>
          <w:sz w:val="28"/>
          <w:szCs w:val="28"/>
        </w:rPr>
        <w:t>33. 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53"/>
      <w:bookmarkEnd w:id="28"/>
      <w:r>
        <w:rPr>
          <w:rFonts w:ascii="Times New Roman" w:hAnsi="Times New Roman" w:cs="Times New Roman"/>
          <w:sz w:val="28"/>
          <w:szCs w:val="28"/>
        </w:rPr>
        <w:t>33.1. 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а) 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4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противодействии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коррупции"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б) 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50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представителю нанимателя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(п. 33.1 введен </w:t>
      </w:r>
      <w:hyperlink r:id="rId51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Новосибирской области от 15.12.2023 N 1514-НПА)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вопросов, указанных в </w:t>
      </w:r>
      <w:hyperlink w:anchor="P63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5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пунктами 26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9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Pr="00642A5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75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36. Решения комиссии по вопросам, указанным в </w:t>
      </w:r>
      <w:hyperlink w:anchor="P6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2 пункта 11 настоящего Положения, носит обязательный характер.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38. В протоколе заседания комиссии указываются: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конфликта интересов;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министерство;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8) решение и обоснование его принятия;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9) другие сведения.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40.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а также по решению комиссии - иным заинтересованным лицам.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41.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68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11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42.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</w:t>
      </w:r>
      <w:r w:rsidRPr="00642A5A">
        <w:rPr>
          <w:rFonts w:ascii="Times New Roman" w:hAnsi="Times New Roman" w:cs="Times New Roman"/>
          <w:sz w:val="28"/>
          <w:szCs w:val="28"/>
        </w:rPr>
        <w:lastRenderedPageBreak/>
        <w:t>принимается к сведению без обсуждения.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</w:t>
      </w:r>
      <w:r w:rsidRPr="00642A5A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>44.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642A5A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42A5A" w:rsidRPr="00642A5A" w:rsidRDefault="00642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Pr="00642A5A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государственной гражданской службы и кадров управления правового, кадрового и документационного обеспечения министерства.</w:t>
      </w:r>
    </w:p>
    <w:p w:rsidR="00642A5A" w:rsidRPr="00642A5A" w:rsidRDefault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A5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>
        <w:r w:rsidRPr="00642A5A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42A5A">
        <w:rPr>
          <w:rFonts w:ascii="Times New Roman" w:hAnsi="Times New Roman" w:cs="Times New Roman"/>
          <w:sz w:val="28"/>
          <w:szCs w:val="28"/>
        </w:rPr>
        <w:t xml:space="preserve"> МПР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23.06.2020 №</w:t>
      </w:r>
      <w:r w:rsidRPr="00642A5A">
        <w:rPr>
          <w:rFonts w:ascii="Times New Roman" w:hAnsi="Times New Roman" w:cs="Times New Roman"/>
          <w:sz w:val="28"/>
          <w:szCs w:val="28"/>
        </w:rPr>
        <w:t xml:space="preserve"> 654)</w:t>
      </w:r>
    </w:p>
    <w:p w:rsidR="00642A5A" w:rsidRPr="00642A5A" w:rsidRDefault="00642A5A" w:rsidP="00642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A5A" w:rsidRPr="00642A5A" w:rsidRDefault="0064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2A5A" w:rsidRPr="00642A5A" w:rsidSect="0085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5A"/>
    <w:rsid w:val="00642A5A"/>
    <w:rsid w:val="00E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F5E6"/>
  <w15:chartTrackingRefBased/>
  <w15:docId w15:val="{B1FCCC2D-324D-49C1-BA6D-FD2BADEC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2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RLAW049&amp;n=167908&amp;dst=100435" TargetMode="External"/><Relationship Id="rId26" Type="http://schemas.openxmlformats.org/officeDocument/2006/relationships/hyperlink" Target="https://login.consultant.ru/link/?req=doc&amp;base=LAW&amp;n=464894&amp;dst=28" TargetMode="External"/><Relationship Id="rId39" Type="http://schemas.openxmlformats.org/officeDocument/2006/relationships/hyperlink" Target="https://login.consultant.ru/link/?req=doc&amp;base=RLAW049&amp;n=168203&amp;dst=100014" TargetMode="External"/><Relationship Id="rId21" Type="http://schemas.openxmlformats.org/officeDocument/2006/relationships/hyperlink" Target="https://login.consultant.ru/link/?req=doc&amp;base=LAW&amp;n=464894" TargetMode="External"/><Relationship Id="rId34" Type="http://schemas.openxmlformats.org/officeDocument/2006/relationships/hyperlink" Target="https://login.consultant.ru/link/?req=doc&amp;base=LAW&amp;n=464894&amp;dst=100110" TargetMode="External"/><Relationship Id="rId42" Type="http://schemas.openxmlformats.org/officeDocument/2006/relationships/hyperlink" Target="https://login.consultant.ru/link/?req=doc&amp;base=RLAW049&amp;n=169758&amp;dst=100162" TargetMode="External"/><Relationship Id="rId47" Type="http://schemas.openxmlformats.org/officeDocument/2006/relationships/hyperlink" Target="https://login.consultant.ru/link/?req=doc&amp;base=LAW&amp;n=451740" TargetMode="External"/><Relationship Id="rId50" Type="http://schemas.openxmlformats.org/officeDocument/2006/relationships/hyperlink" Target="https://login.consultant.ru/link/?req=doc&amp;base=LAW&amp;n=464894" TargetMode="External"/><Relationship Id="rId7" Type="http://schemas.openxmlformats.org/officeDocument/2006/relationships/hyperlink" Target="https://login.consultant.ru/link/?req=doc&amp;base=RLAW049&amp;n=172774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69758&amp;dst=100162" TargetMode="External"/><Relationship Id="rId29" Type="http://schemas.openxmlformats.org/officeDocument/2006/relationships/hyperlink" Target="https://login.consultant.ru/link/?req=doc&amp;base=RLAW049&amp;n=167908&amp;dst=100434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64894&amp;dst=33" TargetMode="External"/><Relationship Id="rId32" Type="http://schemas.openxmlformats.org/officeDocument/2006/relationships/hyperlink" Target="https://login.consultant.ru/link/?req=doc&amp;base=RLAW049&amp;n=159378&amp;dst=100008" TargetMode="External"/><Relationship Id="rId37" Type="http://schemas.openxmlformats.org/officeDocument/2006/relationships/hyperlink" Target="https://login.consultant.ru/link/?req=doc&amp;base=RLAW049&amp;n=168203&amp;dst=100012" TargetMode="External"/><Relationship Id="rId40" Type="http://schemas.openxmlformats.org/officeDocument/2006/relationships/hyperlink" Target="https://login.consultant.ru/link/?req=doc&amp;base=RLAW049&amp;n=168203&amp;dst=100015" TargetMode="External"/><Relationship Id="rId45" Type="http://schemas.openxmlformats.org/officeDocument/2006/relationships/hyperlink" Target="https://login.consultant.ru/link/?req=doc&amp;base=LAW&amp;n=442435&amp;dst=10012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59378&amp;dst=100006" TargetMode="External"/><Relationship Id="rId10" Type="http://schemas.openxmlformats.org/officeDocument/2006/relationships/hyperlink" Target="https://login.consultant.ru/link/?req=doc&amp;base=RLAW049&amp;n=172687" TargetMode="External"/><Relationship Id="rId19" Type="http://schemas.openxmlformats.org/officeDocument/2006/relationships/hyperlink" Target="https://login.consultant.ru/link/?req=doc&amp;base=RLAW049&amp;n=159378&amp;dst=100007" TargetMode="External"/><Relationship Id="rId31" Type="http://schemas.openxmlformats.org/officeDocument/2006/relationships/hyperlink" Target="https://login.consultant.ru/link/?req=doc&amp;base=RLAW049&amp;n=167908&amp;dst=100434" TargetMode="External"/><Relationship Id="rId44" Type="http://schemas.openxmlformats.org/officeDocument/2006/relationships/hyperlink" Target="https://login.consultant.ru/link/?req=doc&amp;base=LAW&amp;n=464894&amp;dst=28" TargetMode="External"/><Relationship Id="rId52" Type="http://schemas.openxmlformats.org/officeDocument/2006/relationships/hyperlink" Target="https://login.consultant.ru/link/?req=doc&amp;base=RLAW049&amp;n=130439&amp;dst=100013" TargetMode="External"/><Relationship Id="rId4" Type="http://schemas.openxmlformats.org/officeDocument/2006/relationships/hyperlink" Target="https://login.consultant.ru/link/?req=doc&amp;base=RLAW049&amp;n=130439&amp;dst=100011" TargetMode="External"/><Relationship Id="rId9" Type="http://schemas.openxmlformats.org/officeDocument/2006/relationships/hyperlink" Target="https://login.consultant.ru/link/?req=doc&amp;base=LAW&amp;n=468056" TargetMode="External"/><Relationship Id="rId14" Type="http://schemas.openxmlformats.org/officeDocument/2006/relationships/hyperlink" Target="https://login.consultant.ru/link/?req=doc&amp;base=LAW&amp;n=464203" TargetMode="External"/><Relationship Id="rId22" Type="http://schemas.openxmlformats.org/officeDocument/2006/relationships/hyperlink" Target="https://login.consultant.ru/link/?req=doc&amp;base=RLAW049&amp;n=172774&amp;dst=100010" TargetMode="External"/><Relationship Id="rId27" Type="http://schemas.openxmlformats.org/officeDocument/2006/relationships/hyperlink" Target="https://login.consultant.ru/link/?req=doc&amp;base=RLAW049&amp;n=167908&amp;dst=100421" TargetMode="External"/><Relationship Id="rId30" Type="http://schemas.openxmlformats.org/officeDocument/2006/relationships/hyperlink" Target="https://login.consultant.ru/link/?req=doc&amp;base=RLAW049&amp;n=167908&amp;dst=100433" TargetMode="External"/><Relationship Id="rId35" Type="http://schemas.openxmlformats.org/officeDocument/2006/relationships/hyperlink" Target="https://login.consultant.ru/link/?req=doc&amp;base=RLAW049&amp;n=168203&amp;dst=100009" TargetMode="External"/><Relationship Id="rId43" Type="http://schemas.openxmlformats.org/officeDocument/2006/relationships/hyperlink" Target="https://login.consultant.ru/link/?req=doc&amp;base=RLAW049&amp;n=169758&amp;dst=100162" TargetMode="External"/><Relationship Id="rId48" Type="http://schemas.openxmlformats.org/officeDocument/2006/relationships/hyperlink" Target="https://login.consultant.ru/link/?req=doc&amp;base=LAW&amp;n=451740" TargetMode="External"/><Relationship Id="rId8" Type="http://schemas.openxmlformats.org/officeDocument/2006/relationships/hyperlink" Target="https://login.consultant.ru/link/?req=doc&amp;base=LAW&amp;n=464894" TargetMode="External"/><Relationship Id="rId51" Type="http://schemas.openxmlformats.org/officeDocument/2006/relationships/hyperlink" Target="https://login.consultant.ru/link/?req=doc&amp;base=RLAW049&amp;n=168203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57327" TargetMode="External"/><Relationship Id="rId17" Type="http://schemas.openxmlformats.org/officeDocument/2006/relationships/hyperlink" Target="https://login.consultant.ru/link/?req=doc&amp;base=RLAW049&amp;n=130439&amp;dst=100012" TargetMode="External"/><Relationship Id="rId25" Type="http://schemas.openxmlformats.org/officeDocument/2006/relationships/hyperlink" Target="https://login.consultant.ru/link/?req=doc&amp;base=LAW&amp;n=474024&amp;dst=1713" TargetMode="External"/><Relationship Id="rId33" Type="http://schemas.openxmlformats.org/officeDocument/2006/relationships/hyperlink" Target="https://login.consultant.ru/link/?req=doc&amp;base=LAW&amp;n=464894&amp;dst=28" TargetMode="External"/><Relationship Id="rId38" Type="http://schemas.openxmlformats.org/officeDocument/2006/relationships/hyperlink" Target="https://login.consultant.ru/link/?req=doc&amp;base=RLAW049&amp;n=159378&amp;dst=100020" TargetMode="External"/><Relationship Id="rId46" Type="http://schemas.openxmlformats.org/officeDocument/2006/relationships/hyperlink" Target="https://login.consultant.ru/link/?req=doc&amp;base=LAW&amp;n=442435&amp;dst=100128" TargetMode="External"/><Relationship Id="rId20" Type="http://schemas.openxmlformats.org/officeDocument/2006/relationships/hyperlink" Target="https://login.consultant.ru/link/?req=doc&amp;base=LAW&amp;n=464203" TargetMode="External"/><Relationship Id="rId41" Type="http://schemas.openxmlformats.org/officeDocument/2006/relationships/hyperlink" Target="https://login.consultant.ru/link/?req=doc&amp;base=RLAW049&amp;n=159378&amp;dst=10002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8203&amp;dst=100006" TargetMode="External"/><Relationship Id="rId15" Type="http://schemas.openxmlformats.org/officeDocument/2006/relationships/hyperlink" Target="https://login.consultant.ru/link/?req=doc&amp;base=RLAW049&amp;n=169758&amp;dst=100132" TargetMode="External"/><Relationship Id="rId23" Type="http://schemas.openxmlformats.org/officeDocument/2006/relationships/hyperlink" Target="https://login.consultant.ru/link/?req=doc&amp;base=LAW&amp;n=442435&amp;dst=100128" TargetMode="External"/><Relationship Id="rId28" Type="http://schemas.openxmlformats.org/officeDocument/2006/relationships/hyperlink" Target="https://login.consultant.ru/link/?req=doc&amp;base=RLAW049&amp;n=167908&amp;dst=100433" TargetMode="External"/><Relationship Id="rId36" Type="http://schemas.openxmlformats.org/officeDocument/2006/relationships/hyperlink" Target="https://login.consultant.ru/link/?req=doc&amp;base=RLAW049&amp;n=159378&amp;dst=100014" TargetMode="External"/><Relationship Id="rId49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6393</Words>
  <Characters>36446</Characters>
  <Application>Microsoft Office Word</Application>
  <DocSecurity>0</DocSecurity>
  <Lines>303</Lines>
  <Paragraphs>85</Paragraphs>
  <ScaleCrop>false</ScaleCrop>
  <Company>PNO</Company>
  <LinksUpToDate>false</LinksUpToDate>
  <CharactersWithSpaces>42754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Кишларь Елена Валерьевна</dc:creator>
  <cp:keywords/>
  <dc:description/>
  <cp:lastModifiedBy>Кишларь Елена Валерьевна</cp:lastModifiedBy>
  <cp:revision>1</cp:revision>
  <dcterms:created xsi:type="dcterms:W3CDTF">2024-05-26T10:46:00Z</dcterms:created>
  <dcterms:modified xsi:type="dcterms:W3CDTF">2024-05-26T10:51:00Z</dcterms:modified>
</cp:coreProperties>
</file>