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4"/>
        <w:jc w:val="center"/>
        <w:rPr>
          <w:b/>
          <w:bCs/>
          <w:lang w:val="en-US"/>
        </w:rPr>
      </w:pPr>
      <w:r>
        <w:rPr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604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24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2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  <w:bCs/>
          <w:lang w:val="en-US"/>
        </w:rPr>
      </w:r>
    </w:p>
    <w:p>
      <w:pPr>
        <w:pStyle w:val="714"/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</w:r>
      <w:r>
        <w:rPr>
          <w:b/>
          <w:bCs/>
          <w:sz w:val="16"/>
          <w:szCs w:val="16"/>
          <w:lang w:val="en-US"/>
        </w:rPr>
      </w:r>
    </w:p>
    <w:p>
      <w:pPr>
        <w:pStyle w:val="714"/>
        <w:jc w:val="center"/>
        <w:rPr>
          <w:b/>
          <w:bCs/>
        </w:rPr>
      </w:pPr>
      <w:r>
        <w:rPr>
          <w:b/>
          <w:bCs/>
        </w:rPr>
        <w:t xml:space="preserve">ПРАВИТЕЛЬСТВО</w:t>
      </w:r>
      <w:r>
        <w:rPr>
          <w:b/>
          <w:bCs/>
        </w:rPr>
        <w:t xml:space="preserve"> НОВОСИБИРСКОЙ ОБЛАСТИ</w:t>
      </w:r>
      <w:r>
        <w:rPr>
          <w:b/>
          <w:bCs/>
        </w:rPr>
      </w:r>
    </w:p>
    <w:p>
      <w:pPr>
        <w:jc w:val="center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ПОСТАНОВЛЕНИЕ</w:t>
      </w:r>
      <w:r>
        <w:rPr>
          <w:b/>
          <w:bCs/>
          <w:sz w:val="36"/>
          <w:szCs w:val="36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29.03.2024  №</w:t>
      </w:r>
      <w:r>
        <w:rPr>
          <w:color w:val="000000"/>
          <w:sz w:val="28"/>
          <w:szCs w:val="28"/>
        </w:rPr>
        <w:t xml:space="preserve"> 147-п</w:t>
      </w:r>
      <w:bookmarkStart w:id="0" w:name="_GoBack"/>
      <w:r/>
      <w:bookmarkEnd w:id="0"/>
      <w:r/>
      <w:r>
        <w:rPr>
          <w:color w:val="000000"/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Cs w:val="24"/>
        </w:rPr>
      </w:pPr>
      <w:r>
        <w:rPr>
          <w:szCs w:val="24"/>
        </w:rPr>
        <w:t xml:space="preserve">г.</w:t>
      </w:r>
      <w:r>
        <w:rPr>
          <w:szCs w:val="24"/>
        </w:rPr>
        <w:t xml:space="preserve"> </w:t>
      </w:r>
      <w:r>
        <w:rPr>
          <w:szCs w:val="24"/>
        </w:rPr>
        <w:t xml:space="preserve">Новосибирск</w:t>
      </w:r>
      <w:r>
        <w:rPr>
          <w:szCs w:val="24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28.01.2015 № 28-п</w:t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</w:t>
      </w:r>
      <w:r>
        <w:rPr>
          <w:spacing w:val="-2"/>
          <w:sz w:val="28"/>
          <w:szCs w:val="28"/>
          <w:shd w:val="clear" w:color="ffffff" w:themeColor="background1" w:fill="ffffff" w:themeFill="background1"/>
        </w:rPr>
        <w:t xml:space="preserve">нести в постановление Правительства Новосибирской области от 28.01.2015</w:t>
      </w:r>
      <w:r>
        <w:rPr>
          <w:sz w:val="28"/>
          <w:szCs w:val="28"/>
          <w:shd w:val="clear" w:color="ffffff" w:themeColor="background1" w:fill="ffffff" w:themeFill="background1"/>
        </w:rPr>
        <w:t xml:space="preserve"> № 28-п «Об утверждении государственной программы Новосибирской области «Охрана окружающей среды» следующие из</w:t>
      </w:r>
      <w:r>
        <w:rPr>
          <w:sz w:val="28"/>
          <w:szCs w:val="28"/>
        </w:rPr>
        <w:t xml:space="preserve">менения: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государственной программе Новосибирской области «Охрана окружающей</w:t>
      </w:r>
      <w:r>
        <w:rPr>
          <w:sz w:val="28"/>
          <w:szCs w:val="28"/>
        </w:rPr>
        <w:t xml:space="preserve"> среды»: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 Раздел I «Паспорт государственной программы Новосибирской области» «Охрана окружающей среды» изложить в следующей редакции:</w:t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jc w:val="center"/>
        <w:spacing w:before="0" w:after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I. Стратегические приоритеты в сфере реализации</w:t>
      </w:r>
      <w:r>
        <w:rPr>
          <w:b/>
          <w:bCs/>
          <w:sz w:val="28"/>
          <w:szCs w:val="28"/>
        </w:rPr>
      </w:r>
    </w:p>
    <w:p>
      <w:pPr>
        <w:contextualSpacing/>
        <w:jc w:val="center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государственной программы Новосибирской области</w:t>
      </w:r>
      <w:r>
        <w:rPr>
          <w:b/>
          <w:bCs/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«Охрана окружающей среды»</w:t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Оценка текущего состояния сферы реализации</w:t>
      </w:r>
      <w:r>
        <w:rPr>
          <w:bCs/>
          <w:sz w:val="28"/>
          <w:szCs w:val="28"/>
        </w:rPr>
      </w:r>
    </w:p>
    <w:p>
      <w:pPr>
        <w:contextualSpacing/>
        <w:jc w:val="center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государственной программы Новосибирской области</w:t>
      </w:r>
      <w:r>
        <w:rPr>
          <w:bCs/>
          <w:sz w:val="28"/>
          <w:szCs w:val="28"/>
        </w:rPr>
      </w:r>
    </w:p>
    <w:p>
      <w:pPr>
        <w:contextualSpacing/>
        <w:jc w:val="center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«Охрана окружающей среды»</w:t>
      </w:r>
      <w:r>
        <w:rPr>
          <w:bCs/>
          <w:sz w:val="28"/>
          <w:szCs w:val="28"/>
        </w:rPr>
      </w:r>
    </w:p>
    <w:p>
      <w:pPr>
        <w:contextualSpacing/>
        <w:jc w:val="center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Вопросы охраны окружающей среды и обеспечения экологической безопасности являются приоритетными при осуществлении государственной политики в Новосибирской области.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Устойчивое развитие региона во многом зависит от состояния природных ресурсов и окружающей среды в целом. Среди природных ресурсов особую значимость имеет биологическое разнообразие – совокупность биологических видов, их сообществ и экосистем в целом.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Важнейшей формой сохранения биологического и ландшафтного разнообразия, а также </w:t>
      </w:r>
      <w:r>
        <w:rPr>
          <w:sz w:val="28"/>
          <w:szCs w:val="28"/>
        </w:rPr>
        <w:t xml:space="preserve">защиты</w:t>
      </w:r>
      <w:r>
        <w:rPr>
          <w:sz w:val="28"/>
          <w:szCs w:val="28"/>
        </w:rPr>
        <w:t xml:space="preserve"> видов животных, растений и грибов, в том числе редких и занесенных в Красную книгу Российской Федерации и Красную книгу </w:t>
      </w:r>
      <w:r>
        <w:rPr>
          <w:sz w:val="28"/>
          <w:szCs w:val="28"/>
        </w:rPr>
        <w:t xml:space="preserve">Новосибирской области, является организация особо охраняемых природных территорий (далее – ООПТ).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ООПТ Новосибирской области имеют важное значения с научной точки зрения для исследования и сохранения естественных экосистем и ландшафтов, мониторинга региональных и глобальных изменений биосферы, а также изучению и сохранению биоразнообразия региона.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Функционирование и развитие сети ООПТ на территории области способствует сохранению редких и находящихся под угрозой исчезновения видов животных, растений и грибов, внесенных в Красные книги Новосибирской области и Российской Федерации.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систему ООПТ Новосибирской области вошли ценные природные комплексы (лесные, речные, болотные, озерные, степ</w:t>
      </w:r>
      <w:r>
        <w:rPr>
          <w:sz w:val="28"/>
          <w:szCs w:val="28"/>
        </w:rPr>
        <w:t xml:space="preserve">ные) и ландшафты, места произрастания (обитания) редких находящихся под угрозой исчезновения видов растений, животных и грибов. На ООПТ обитает (произрастает) более 50% представителей флоры и фауны Новосибирской области, в том числе более 70% редких видов.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Основным видом пользования объектами животного мира на территории Новосибирской области остается охота.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 охотничьим ресурсам, в отношении которых осуществляется промысловая охота на территории регион</w:t>
      </w:r>
      <w:r>
        <w:rPr>
          <w:sz w:val="28"/>
          <w:szCs w:val="28"/>
        </w:rPr>
        <w:t xml:space="preserve">а, относятся бобр европейский, соболь, куница лесная, норка американская, горностай, колонок, хорь степной (за исключением амурского степного хоря), белка обыкновенная, ондатра, росомаха, рысь, лисица, корсак, волк, сурок серый, барсук, енотовидная собака.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Помимо вышеперечисленных видов млекопитающих, на территории области осуществляется любительская и спортивная охота на бурундука, водяную крысу, алтайского крота, ласку, зайца (беляка и русака), однако наибольший интерес для охотников области предст</w:t>
      </w:r>
      <w:r>
        <w:rPr>
          <w:sz w:val="28"/>
          <w:szCs w:val="28"/>
        </w:rPr>
        <w:t xml:space="preserve">авляют копытные (кабан, косуля сибирская, лось), медведь бурый, сурок серый, барсук. Ввиду редкости в естественных сообществах региона северный олень и речная выдра занесены в Красную книгу Новосибирской области и их добыча на территории региона запрещена.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объективной оценки состояния охотничьих ресурсов </w:t>
      </w:r>
      <w:r>
        <w:rPr>
          <w:spacing w:val="-2"/>
          <w:sz w:val="28"/>
          <w:szCs w:val="28"/>
        </w:rPr>
        <w:t xml:space="preserve">и установления научно-обоснованных лимитов и квот добычи ежегодно проводятся</w:t>
      </w:r>
      <w:r>
        <w:rPr>
          <w:sz w:val="28"/>
          <w:szCs w:val="28"/>
        </w:rPr>
        <w:t xml:space="preserve"> работы по учету численности охотничьих животных. На основании данных учетов состояние численности охотничьих ресурсов характеризуется как стабильное.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Вместе с тем биологическая продуктивность популяций и экологическая емкость охотничьих угодий позволяют иметь плотность населения популяций, </w:t>
      </w:r>
      <w:r>
        <w:rPr>
          <w:spacing w:val="-2"/>
          <w:sz w:val="28"/>
          <w:szCs w:val="28"/>
        </w:rPr>
        <w:t xml:space="preserve">значительно превышающую фактическую. Основными факторами, сдерживающими</w:t>
      </w:r>
      <w:r>
        <w:rPr>
          <w:sz w:val="28"/>
          <w:szCs w:val="28"/>
        </w:rPr>
        <w:t xml:space="preserve"> рост численности охотничьих ресурсов, являются суровые климатические условия Новосибирской области в зимний период и браконьерство. От нелегальной добычи страдают такие виды, как лось, косуля сибирская и другие.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Водные ресурсы Новосибирской области представлены поверхностными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подземными водами, которые служат источниками водоснабжения для хозяйственно-питьевых, производственных целей, для нужд энергетики, орошения, 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также являются водоприемниками сточных вод.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Вопрос поддержания экологически полноценного состояния рек области актуален и стоит очень остро. Деградация рек происходит из-за антропогенного воздействия. Кроме того, слабый уклон местности</w:t>
      </w:r>
      <w:r>
        <w:rPr>
          <w:sz w:val="28"/>
          <w:szCs w:val="28"/>
        </w:rPr>
        <w:t xml:space="preserve"> определяет медленное течение и </w:t>
      </w:r>
      <w:r>
        <w:rPr>
          <w:sz w:val="28"/>
          <w:szCs w:val="28"/>
        </w:rPr>
        <w:t xml:space="preserve">сильную извилистость русел рек, заиление, загрязнение и, как следствие, обмеление. В результате многие реки утрачивают свои естественно-природные качества и нуждаются в восстановлении.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Проблемой, требующей безотлагательного решения, является обеспечение защиты населения и о</w:t>
      </w:r>
      <w:r>
        <w:rPr>
          <w:sz w:val="28"/>
          <w:szCs w:val="28"/>
        </w:rPr>
        <w:t xml:space="preserve">бъектов экономики области от негативного воздействия вод. В периоды половодий и паводков наибольшее развитие получает боковая эрозия, происходит размыв берегов, что приводит к выведению из землепользования значительных площадей сельскохозяйственных угодий.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связи с этим требуется проведение комплекса мер инженерной защиты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обеспечение безопасности гидротехнических сооружений.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Актуальным остается вопрос приведени</w:t>
      </w:r>
      <w:r>
        <w:rPr>
          <w:sz w:val="28"/>
          <w:szCs w:val="28"/>
        </w:rPr>
        <w:t xml:space="preserve">я гидротехнических сооружений, выработавших свой ресурс и находящихся в неудовлетворительном и опасном уровне безопасности, в безопасное техническое состояние. Данные обстоятельства требуют принятия мер по их реконструкции, капитальному и текущему ремонту.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Новосибирская область занимает лидирующие позиции по добыче общераспространенных полезных ископаемых в Сибирском федеральном округе.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Минерально-сырьевая база общераспространенных</w:t>
      </w:r>
      <w:r>
        <w:rPr>
          <w:sz w:val="28"/>
          <w:szCs w:val="28"/>
        </w:rPr>
        <w:t xml:space="preserve"> полезных ископаемых Новосибирской области представлена строительными песками и песчано-гравийными материалами, строительными камнями, строительными известняками, суглинками и кирпичными суглинками, керамзитовым и аглопоритовым сырьем, сапропелем и торфом.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Основным потребителем общераспространенных полезных ископаемых является строительный и дорожно-строительный комплекс области.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Продукция местных горнодобывающих предприятий не только полностью обеспечивает потребность Новосибирской области, но и поставляется в другие регионы.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использования общераспространенных полезных ископаемых необходимо дальнейшее повышение объема разведанных запасов общераспространенных поле</w:t>
      </w:r>
      <w:r>
        <w:rPr>
          <w:sz w:val="28"/>
          <w:szCs w:val="28"/>
        </w:rPr>
        <w:t xml:space="preserve">зных ископаемых, обеспечение их </w:t>
      </w:r>
      <w:r>
        <w:rPr>
          <w:sz w:val="28"/>
          <w:szCs w:val="28"/>
        </w:rPr>
        <w:t xml:space="preserve">рационального использования, проведение мониторинга и охраны геологической среды на территории области.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экологической культуры в обществе, воспитания бережного отношения к природе, рационального использования приро</w:t>
      </w:r>
      <w:r>
        <w:rPr>
          <w:sz w:val="28"/>
          <w:szCs w:val="28"/>
        </w:rPr>
        <w:t xml:space="preserve">дных ресурсов осуществляются экологическое образование, экологическое просвещение посредством распространения экологических знаний об экологической безопасности, информации о состоянии окружающей среды и об использовании природных ресурсов, вовлечения насе</w:t>
      </w:r>
      <w:r>
        <w:rPr>
          <w:sz w:val="28"/>
          <w:szCs w:val="28"/>
        </w:rPr>
        <w:t xml:space="preserve">ления разных возрастных групп к </w:t>
      </w:r>
      <w:r>
        <w:rPr>
          <w:sz w:val="28"/>
          <w:szCs w:val="28"/>
        </w:rPr>
        <w:t xml:space="preserve">непосредственному участию в природоохранных мероприятиях.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Ежегодно на территории региона реализуется комплекс мероприятий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области экологического образования и просвещения, в числе которых природоохранные лекции и акции,</w:t>
      </w:r>
      <w:r>
        <w:rPr>
          <w:sz w:val="28"/>
          <w:szCs w:val="28"/>
        </w:rPr>
        <w:t xml:space="preserve"> конкурсы, обучающие семинары и </w:t>
      </w:r>
      <w:r>
        <w:rPr>
          <w:sz w:val="28"/>
          <w:szCs w:val="28"/>
        </w:rPr>
        <w:t xml:space="preserve">интерактивные занятия.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целом, экологическая ситуация на территории Новосибирской области оценивается как стабильная благодаря умеренной динамике антропогенного воздействия на окружающую среду, сокраще</w:t>
      </w:r>
      <w:r>
        <w:rPr>
          <w:sz w:val="28"/>
          <w:szCs w:val="28"/>
        </w:rPr>
        <w:t xml:space="preserve">нию выбросов в атмосферу как от </w:t>
      </w:r>
      <w:r>
        <w:rPr>
          <w:sz w:val="28"/>
          <w:szCs w:val="28"/>
        </w:rPr>
        <w:t xml:space="preserve">промышленности, так и от транспорта.</w:t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</w:t>
      </w:r>
      <w:r>
        <w:rPr>
          <w:bCs/>
          <w:sz w:val="28"/>
          <w:szCs w:val="28"/>
        </w:rPr>
        <w:t xml:space="preserve">Приоритеты и цели государственной политики в сфере реализации</w:t>
      </w:r>
      <w:r>
        <w:rPr>
          <w:bCs/>
          <w:sz w:val="28"/>
          <w:szCs w:val="28"/>
        </w:rPr>
      </w:r>
    </w:p>
    <w:p>
      <w:pPr>
        <w:contextualSpacing/>
        <w:jc w:val="center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государственной программы Новосибирской области</w:t>
      </w:r>
      <w:r>
        <w:rPr>
          <w:bCs/>
          <w:sz w:val="28"/>
          <w:szCs w:val="28"/>
        </w:rPr>
      </w:r>
    </w:p>
    <w:p>
      <w:pPr>
        <w:contextualSpacing/>
        <w:jc w:val="center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«Охрана окружающей среды»</w:t>
      </w:r>
      <w:r>
        <w:rPr>
          <w:bCs/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Приоритетами государственной политики в сфере охраны окружающей среды, воспроизводства и использования природных ресурсов являются улучшение количественных и качественных показателей</w:t>
      </w:r>
      <w:r>
        <w:rPr>
          <w:sz w:val="28"/>
          <w:szCs w:val="28"/>
        </w:rPr>
        <w:t xml:space="preserve"> водных объектов, находящихся в </w:t>
      </w:r>
      <w:r>
        <w:rPr>
          <w:sz w:val="28"/>
          <w:szCs w:val="28"/>
        </w:rPr>
        <w:t xml:space="preserve">государственной собственности, а также обеспечение устойчивого существования и использования охотничьих ресурсов, иных объектов животного мира, сохранение их биологического разнообразия.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основу государственной программы Новосибирской области «Охрана окружающей среды» заложен проектный принцип ее реализации, что позволяет комплексно реализовывать природоохранные проекты, целенаправленно повышая их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экономический и социальный потенциал, в том числе в ча</w:t>
      </w:r>
      <w:r>
        <w:rPr>
          <w:sz w:val="28"/>
          <w:szCs w:val="28"/>
        </w:rPr>
        <w:t xml:space="preserve">сти привлечения финансирования.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Цели и задачи государственной программы Новосибирской области «Охрана окружающей среды» соответствуют следующим стратегическим документам: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Указ Президента Российской Федерации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21.07.2020 №</w:t>
      </w:r>
      <w:r>
        <w:rPr>
          <w:sz w:val="28"/>
          <w:szCs w:val="28"/>
        </w:rPr>
        <w:t xml:space="preserve"> 474 «О </w:t>
      </w:r>
      <w:r>
        <w:rPr>
          <w:sz w:val="28"/>
          <w:szCs w:val="28"/>
        </w:rPr>
        <w:t xml:space="preserve">национальных целях развития Российской Федерации на период до 2030 года»;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Указ Президента РФ от 19.04.2017 № </w:t>
      </w:r>
      <w:r>
        <w:rPr>
          <w:sz w:val="28"/>
          <w:szCs w:val="28"/>
        </w:rPr>
        <w:t xml:space="preserve">176 «О Стратегии экологической безопасности Российской Федерации на период до 2025 года»;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</w:t>
      </w:r>
      <w:r>
        <w:rPr>
          <w:spacing w:val="-2"/>
          <w:sz w:val="28"/>
          <w:szCs w:val="28"/>
        </w:rPr>
        <w:t xml:space="preserve"> </w:t>
      </w:r>
      <w:r>
        <w:rPr>
          <w:spacing w:val="-2"/>
          <w:sz w:val="28"/>
          <w:szCs w:val="28"/>
        </w:rPr>
        <w:t xml:space="preserve">Указ Президента Российской Фед</w:t>
      </w:r>
      <w:r>
        <w:rPr>
          <w:spacing w:val="-2"/>
          <w:sz w:val="28"/>
          <w:szCs w:val="28"/>
        </w:rPr>
        <w:t xml:space="preserve">ерации от </w:t>
      </w:r>
      <w:r>
        <w:rPr>
          <w:spacing w:val="-2"/>
          <w:sz w:val="28"/>
          <w:szCs w:val="28"/>
        </w:rPr>
        <w:t xml:space="preserve">02.07.2021 №</w:t>
      </w:r>
      <w:r>
        <w:rPr>
          <w:spacing w:val="-2"/>
          <w:sz w:val="28"/>
          <w:szCs w:val="28"/>
        </w:rPr>
        <w:t xml:space="preserve"> 400 «О </w:t>
      </w:r>
      <w:r>
        <w:rPr>
          <w:spacing w:val="-2"/>
          <w:sz w:val="28"/>
          <w:szCs w:val="28"/>
        </w:rPr>
        <w:t xml:space="preserve">Стратегии</w:t>
      </w:r>
      <w:r>
        <w:rPr>
          <w:sz w:val="28"/>
          <w:szCs w:val="28"/>
        </w:rPr>
        <w:t xml:space="preserve"> национальной безопасности Российской Федерации»;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4. </w:t>
      </w:r>
      <w:r>
        <w:rPr>
          <w:sz w:val="28"/>
          <w:szCs w:val="28"/>
        </w:rPr>
        <w:t xml:space="preserve">Стратегия пространственного развития Ро</w:t>
      </w:r>
      <w:r>
        <w:rPr>
          <w:sz w:val="28"/>
          <w:szCs w:val="28"/>
        </w:rPr>
        <w:t xml:space="preserve">ссийской Федерации на период до </w:t>
      </w:r>
      <w:r>
        <w:rPr>
          <w:sz w:val="28"/>
          <w:szCs w:val="28"/>
        </w:rPr>
        <w:t xml:space="preserve">2025 года, утвержденная распоряжением Правит</w:t>
      </w:r>
      <w:r>
        <w:rPr>
          <w:sz w:val="28"/>
          <w:szCs w:val="28"/>
        </w:rPr>
        <w:t xml:space="preserve">ельства Российской Федерации от </w:t>
      </w:r>
      <w:r>
        <w:rPr>
          <w:sz w:val="28"/>
          <w:szCs w:val="28"/>
        </w:rPr>
        <w:t xml:space="preserve">13.02.2019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№ 207-р;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Перечень поручений президента Российской Федерации по вопросам охраны, воспроизводства и использования объектов животного мира и охотничьих ресурсов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08.12.2016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Пр-2374;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6. </w:t>
      </w:r>
      <w:r>
        <w:rPr>
          <w:sz w:val="28"/>
          <w:szCs w:val="28"/>
        </w:rPr>
        <w:t xml:space="preserve">Государственная программа Российск</w:t>
      </w:r>
      <w:r>
        <w:rPr>
          <w:sz w:val="28"/>
          <w:szCs w:val="28"/>
        </w:rPr>
        <w:t xml:space="preserve">ой Федерации «Воспроизводство и </w:t>
      </w:r>
      <w:r>
        <w:rPr>
          <w:sz w:val="28"/>
          <w:szCs w:val="28"/>
        </w:rPr>
        <w:t xml:space="preserve">использование природных ресурсов», утвержденная Постановлением Правительства Российской Федерации от</w:t>
      </w:r>
      <w:r>
        <w:rPr>
          <w:sz w:val="28"/>
          <w:szCs w:val="28"/>
        </w:rPr>
        <w:t xml:space="preserve"> 15.04.2014 № </w:t>
      </w:r>
      <w:r>
        <w:rPr>
          <w:sz w:val="28"/>
          <w:szCs w:val="28"/>
        </w:rPr>
        <w:t xml:space="preserve">322;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b/>
          <w:sz w:val="28"/>
          <w:szCs w:val="28"/>
        </w:rPr>
        <w:t xml:space="preserve"> </w:t>
      </w:r>
      <w:r>
        <w:rPr>
          <w:sz w:val="28"/>
          <w:szCs w:val="28"/>
        </w:rPr>
        <w:t xml:space="preserve">Государственная программа Российской Федерации «Охрана окружающей среды», утвержденная Постановлением Правительства Российской Федерац</w:t>
      </w:r>
      <w:r>
        <w:rPr>
          <w:sz w:val="28"/>
          <w:szCs w:val="28"/>
        </w:rPr>
        <w:t xml:space="preserve">ии от 15.04.2014 № </w:t>
      </w:r>
      <w:r>
        <w:rPr>
          <w:sz w:val="28"/>
          <w:szCs w:val="28"/>
        </w:rPr>
        <w:t xml:space="preserve">326;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8.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Стратегия социально-экономического ра</w:t>
      </w:r>
      <w:r>
        <w:rPr>
          <w:sz w:val="28"/>
          <w:szCs w:val="28"/>
        </w:rPr>
        <w:t xml:space="preserve">звития Новосибирской области до </w:t>
      </w:r>
      <w:r>
        <w:rPr>
          <w:sz w:val="28"/>
          <w:szCs w:val="28"/>
        </w:rPr>
        <w:t xml:space="preserve">2030 года, утвержденная постановлением Правите</w:t>
      </w:r>
      <w:r>
        <w:rPr>
          <w:sz w:val="28"/>
          <w:szCs w:val="28"/>
        </w:rPr>
        <w:t xml:space="preserve">льства Новосибирской области от 19.03.2019 № </w:t>
      </w:r>
      <w:r>
        <w:rPr>
          <w:sz w:val="28"/>
          <w:szCs w:val="28"/>
        </w:rPr>
        <w:t xml:space="preserve">105-п.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Целями государственной политики в сфере охраны окружающей сред</w:t>
      </w:r>
      <w:r>
        <w:rPr>
          <w:sz w:val="28"/>
          <w:szCs w:val="28"/>
        </w:rPr>
        <w:t xml:space="preserve">ы и </w:t>
      </w:r>
      <w:r>
        <w:rPr>
          <w:sz w:val="28"/>
          <w:szCs w:val="28"/>
        </w:rPr>
        <w:t xml:space="preserve">обеспечения экологической безопасности являются: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сохранение биологического разнообразия, в том числе посредством сохранения не менее 87 ООПТ на плановый период до 2030 года и исследование недр местного значения;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2) сохранение и восстановление водных объектов для улучшения экологических условий проживания вблиз</w:t>
      </w:r>
      <w:r>
        <w:rPr>
          <w:sz w:val="28"/>
          <w:szCs w:val="28"/>
        </w:rPr>
        <w:t xml:space="preserve">и водных объектов для 0,025 млн</w:t>
      </w:r>
      <w:r>
        <w:rPr>
          <w:sz w:val="28"/>
          <w:szCs w:val="28"/>
        </w:rPr>
        <w:t xml:space="preserve"> человек до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2030 года;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обеспечение защищенности к концу 2030 года более 31,043 тыс. человек, проживающих на территориях, подверженных негативному воздействию вод.</w:t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3. </w:t>
      </w:r>
      <w:r>
        <w:rPr>
          <w:bCs/>
          <w:sz w:val="28"/>
          <w:szCs w:val="28"/>
        </w:rPr>
        <w:t xml:space="preserve">Сведения о взаимосвязи со стратегическими приоритетами, целями и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показателями государственных программ Российской Федерации</w:t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программа Новосибирской области «Охрана окружающей </w:t>
      </w:r>
      <w:r>
        <w:rPr>
          <w:sz w:val="28"/>
          <w:szCs w:val="28"/>
        </w:rPr>
        <w:t xml:space="preserve">среды» связана со стратегическими приоритетами, целями и показателями государственной программы Российской Федерации государственной программы Российской Федерации «Охрана окружающей среды», утвержденной постановлением Правительства Российской Федерации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15.04.2014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326.</w:t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4. </w:t>
      </w:r>
      <w:r>
        <w:rPr>
          <w:bCs/>
          <w:sz w:val="28"/>
          <w:szCs w:val="28"/>
        </w:rPr>
        <w:t xml:space="preserve">Задачи (направления) государственной программы Новосибирской области «Охрана окружающей среды», способы их эффективного решения</w:t>
      </w:r>
      <w:r>
        <w:rPr>
          <w:bCs/>
          <w:sz w:val="28"/>
          <w:szCs w:val="28"/>
        </w:rPr>
      </w:r>
    </w:p>
    <w:p>
      <w:pPr>
        <w:contextualSpacing/>
        <w:jc w:val="center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государственного управления в области охраны окружающей среды на территории Новосибирской области являются: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сохранени</w:t>
      </w:r>
      <w:r>
        <w:rPr>
          <w:sz w:val="28"/>
          <w:szCs w:val="28"/>
        </w:rPr>
        <w:t xml:space="preserve">я биологического разнообразия и </w:t>
      </w:r>
      <w:r>
        <w:rPr>
          <w:sz w:val="28"/>
          <w:szCs w:val="28"/>
        </w:rPr>
        <w:t xml:space="preserve">исследования недр местного значения;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обеспечения защиты от негативного воздействия вод, сохранения и восстановления водных объектов.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shd w:val="clear" w:color="auto" w:fill="ffffff"/>
        <w:tabs>
          <w:tab w:val="left" w:pos="708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 указанных задач будет осуществляться путем:</w:t>
      </w:r>
      <w:r>
        <w:rPr>
          <w:sz w:val="28"/>
          <w:szCs w:val="28"/>
        </w:rPr>
      </w:r>
    </w:p>
    <w:p>
      <w:pPr>
        <w:pStyle w:val="80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выполнения химико-аналитических исследований состояния компонентов окружающей среды;</w:t>
      </w:r>
      <w:r>
        <w:rPr>
          <w:sz w:val="28"/>
          <w:szCs w:val="28"/>
        </w:rPr>
      </w:r>
    </w:p>
    <w:p>
      <w:pPr>
        <w:pStyle w:val="80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организации и обеспечения охраны памятников природы регионального значения и их обустройства;</w:t>
      </w:r>
      <w:r>
        <w:rPr>
          <w:sz w:val="28"/>
          <w:szCs w:val="28"/>
        </w:rPr>
      </w:r>
    </w:p>
    <w:p>
      <w:pPr>
        <w:pStyle w:val="80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организации и проведению мероприятий по экологич</w:t>
      </w:r>
      <w:r>
        <w:rPr>
          <w:sz w:val="28"/>
          <w:szCs w:val="28"/>
        </w:rPr>
        <w:t xml:space="preserve">ескому просвещению и </w:t>
      </w:r>
      <w:r>
        <w:rPr>
          <w:sz w:val="28"/>
          <w:szCs w:val="28"/>
        </w:rPr>
        <w:t xml:space="preserve">пропаганде бережного отношения к окружающей природной среде;</w:t>
      </w:r>
      <w:r>
        <w:rPr>
          <w:sz w:val="28"/>
          <w:szCs w:val="28"/>
        </w:rPr>
      </w:r>
    </w:p>
    <w:p>
      <w:pPr>
        <w:pStyle w:val="80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охраны, развития государственных природных заказников регионального значения Новосибирской области;</w:t>
      </w:r>
      <w:r>
        <w:rPr>
          <w:sz w:val="28"/>
          <w:szCs w:val="28"/>
        </w:rPr>
      </w:r>
    </w:p>
    <w:p>
      <w:pPr>
        <w:pStyle w:val="80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разработка схемы размещения, использования и охраны охотничьих угодий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территории Новосибирской области;</w:t>
      </w:r>
      <w:r>
        <w:rPr>
          <w:sz w:val="28"/>
          <w:szCs w:val="28"/>
        </w:rPr>
      </w:r>
    </w:p>
    <w:p>
      <w:pPr>
        <w:pStyle w:val="80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выполнения поисково-оценочных работ в пределах участков недр местного значения;</w:t>
      </w:r>
      <w:r>
        <w:rPr>
          <w:sz w:val="28"/>
          <w:szCs w:val="28"/>
        </w:rPr>
      </w:r>
    </w:p>
    <w:p>
      <w:pPr>
        <w:pStyle w:val="80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выполнения маркшейдерских работ в недрах земли и на соответствующих участках ее поверхности;</w:t>
      </w:r>
      <w:r>
        <w:rPr>
          <w:sz w:val="28"/>
          <w:szCs w:val="28"/>
        </w:rPr>
      </w:r>
    </w:p>
    <w:p>
      <w:pPr>
        <w:pStyle w:val="80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защите территорий населенных пунктов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подтопления и затопления;</w:t>
      </w:r>
      <w:r>
        <w:rPr>
          <w:sz w:val="28"/>
          <w:szCs w:val="28"/>
        </w:rPr>
      </w:r>
    </w:p>
    <w:p>
      <w:pPr>
        <w:pStyle w:val="80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поддержания безопасного технического состояния гидротехнических сооружений Новосибирской области;</w:t>
      </w:r>
      <w:r>
        <w:rPr>
          <w:sz w:val="28"/>
          <w:szCs w:val="28"/>
        </w:rPr>
      </w:r>
    </w:p>
    <w:p>
      <w:pPr>
        <w:pStyle w:val="80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проведения мониторинга подземных вод и опасных экзогенных геологических процессов;</w:t>
      </w:r>
      <w:r>
        <w:rPr>
          <w:sz w:val="28"/>
          <w:szCs w:val="28"/>
        </w:rPr>
      </w:r>
    </w:p>
    <w:p>
      <w:pPr>
        <w:pStyle w:val="80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улучшения экологического состояния гидрографической сети.».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Раздел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II «Обоснование необходимости реализации государственной программы», раздел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IV «Система основных мероприятий государственной программы» признать утратившими силу.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Приложение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 «Цели, задачи и целевые индикаторы государственной программы Новосибирской области «Охрана окружающей среды» изложить в</w:t>
      </w:r>
      <w:r>
        <w:rPr>
          <w:sz w:val="28"/>
          <w:szCs w:val="28"/>
        </w:rPr>
        <w:t xml:space="preserve"> редакции согласно приложению № </w:t>
      </w:r>
      <w:r>
        <w:rPr>
          <w:sz w:val="28"/>
          <w:szCs w:val="28"/>
        </w:rPr>
        <w:t xml:space="preserve">1 к настоящему постановлению.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4.</w:t>
      </w:r>
      <w:r>
        <w:rPr>
          <w:spacing w:val="-6"/>
          <w:sz w:val="28"/>
          <w:szCs w:val="28"/>
        </w:rPr>
        <w:t xml:space="preserve"> </w:t>
      </w:r>
      <w:r>
        <w:rPr>
          <w:spacing w:val="-6"/>
          <w:sz w:val="28"/>
          <w:szCs w:val="28"/>
        </w:rPr>
        <w:t xml:space="preserve">Раздел</w:t>
      </w:r>
      <w:r>
        <w:rPr>
          <w:spacing w:val="-6"/>
          <w:sz w:val="28"/>
          <w:szCs w:val="28"/>
        </w:rPr>
        <w:t xml:space="preserve"> </w:t>
      </w:r>
      <w:r>
        <w:rPr>
          <w:spacing w:val="-6"/>
          <w:sz w:val="28"/>
          <w:szCs w:val="28"/>
        </w:rPr>
        <w:t xml:space="preserve">II «Основные мероприятия, реализ</w:t>
      </w:r>
      <w:r>
        <w:rPr>
          <w:spacing w:val="-6"/>
          <w:sz w:val="28"/>
          <w:szCs w:val="28"/>
        </w:rPr>
        <w:t xml:space="preserve">уемые с 2019 года» приложения № </w:t>
      </w:r>
      <w:r>
        <w:rPr>
          <w:spacing w:val="-6"/>
          <w:sz w:val="28"/>
          <w:szCs w:val="28"/>
        </w:rPr>
        <w:t xml:space="preserve">2</w:t>
      </w:r>
      <w:r>
        <w:rPr>
          <w:sz w:val="28"/>
          <w:szCs w:val="28"/>
        </w:rPr>
        <w:t xml:space="preserve"> «Основные мероприятия государственной программы Новосибирской области «Охрана окружающей среды» изложить в редакции согласно приложению №</w:t>
      </w:r>
      <w:r>
        <w:rPr>
          <w:sz w:val="28"/>
          <w:szCs w:val="28"/>
        </w:rPr>
        <w:t xml:space="preserve"> 2 к </w:t>
      </w:r>
      <w:r>
        <w:rPr>
          <w:sz w:val="28"/>
          <w:szCs w:val="28"/>
        </w:rPr>
        <w:t xml:space="preserve">настоящему постановлению.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Приложение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2.1. «Перечень объектов, на которых п</w:t>
      </w:r>
      <w:r>
        <w:rPr>
          <w:sz w:val="28"/>
          <w:szCs w:val="28"/>
        </w:rPr>
        <w:t xml:space="preserve">ланируется проведение работ в рамках задачи «Развитие водохозяйственного комплекса Новосибирской области» государственной программы Новосибирской области «Охрана окружающей среды», в том числе за счет средств федерального бюджета» признать утратившим силу.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6. </w:t>
      </w:r>
      <w:r>
        <w:rPr>
          <w:sz w:val="28"/>
          <w:szCs w:val="28"/>
        </w:rPr>
        <w:t xml:space="preserve">Приложение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 «Сводные финансовые затраты государственной программы Новосибирской области «Охра</w:t>
      </w:r>
      <w:r>
        <w:rPr>
          <w:sz w:val="28"/>
          <w:szCs w:val="28"/>
        </w:rPr>
        <w:t xml:space="preserve">на окружающей среды» изложить в </w:t>
      </w:r>
      <w:r>
        <w:rPr>
          <w:sz w:val="28"/>
          <w:szCs w:val="28"/>
        </w:rPr>
        <w:t xml:space="preserve">редакции согласно приложению к настоящему постановлению.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7. </w:t>
      </w:r>
      <w:r>
        <w:rPr>
          <w:sz w:val="28"/>
          <w:szCs w:val="28"/>
        </w:rPr>
        <w:t xml:space="preserve">Признать утратившими силу с 01.06.2024: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приложение № </w:t>
      </w:r>
      <w:r>
        <w:rPr>
          <w:sz w:val="28"/>
          <w:szCs w:val="28"/>
        </w:rPr>
        <w:t xml:space="preserve">1 «Цели, задачи и целевые индикаторы государственной программы Новосибирской области «Охрана окружающей среды»;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приложение № 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«Основные мероприятия государственной программы Новосибирской области «Охрана окружающей среды»;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приложение № </w:t>
      </w:r>
      <w:r>
        <w:rPr>
          <w:sz w:val="28"/>
          <w:szCs w:val="28"/>
        </w:rPr>
        <w:t xml:space="preserve">3 «Сводные финансовые затраты и налоговые расходы государственной программы Новосибирской области «Охрана окружающей среды».</w:t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И.о. Губернатора Новосибирской области В.М. Знатков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contextualSpacing/>
        <w:jc w:val="both"/>
        <w:spacing w:before="0" w:after="0"/>
        <w:rPr>
          <w:sz w:val="20"/>
        </w:rPr>
      </w:pPr>
      <w:r>
        <w:rPr>
          <w:sz w:val="20"/>
        </w:rPr>
        <w:t xml:space="preserve">Е.А. Шестернин</w:t>
      </w:r>
      <w:r>
        <w:rPr>
          <w:sz w:val="20"/>
        </w:rPr>
      </w:r>
    </w:p>
    <w:p>
      <w:pPr>
        <w:contextualSpacing/>
        <w:jc w:val="both"/>
        <w:spacing w:before="0" w:after="0"/>
        <w:rPr>
          <w:sz w:val="20"/>
          <w:szCs w:val="20"/>
          <w:highlight w:val="none"/>
        </w:rPr>
        <w:sectPr>
          <w:headerReference w:type="default" r:id="rId10"/>
          <w:footerReference w:type="first" r:id="rId11"/>
          <w:footnotePr/>
          <w:endnotePr/>
          <w:type w:val="nextPage"/>
          <w:pgSz w:w="11909" w:h="16834" w:orient="portrait"/>
          <w:pgMar w:top="1134" w:right="567" w:bottom="1134" w:left="1418" w:header="709" w:footer="709" w:gutter="0"/>
          <w:pgNumType w:start="1"/>
          <w:cols w:num="1" w:sep="0" w:space="60" w:equalWidth="1"/>
          <w:docGrid w:linePitch="360"/>
          <w:titlePg/>
        </w:sectPr>
      </w:pPr>
      <w:r>
        <w:rPr>
          <w:sz w:val="20"/>
        </w:rPr>
        <w:t xml:space="preserve">296 51 70</w:t>
      </w:r>
      <w:r>
        <w:rPr>
          <w:sz w:val="20"/>
          <w:szCs w:val="20"/>
          <w:highlight w:val="none"/>
        </w:rPr>
      </w: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 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29.03.2024  № 147-п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 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государственной программе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«Охрана окружающей среды»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ЦЕЛИ, ЗАДАЧИ И ЦЕЛЕВЫЕ ИНДИКАТОРЫ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государственной программы Новосибирской области «Охрана окружающей среды»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57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410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2097"/>
      </w:tblGrid>
      <w:tr>
        <w:trPr>
          <w:jc w:val="center"/>
          <w:trHeight w:val="23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Цель/задачи, требующие решения для достижения цели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целевого индикатора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Еди-ница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изме-рения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10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Значение целевого индикатора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10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годам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2014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2015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2016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2017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2018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30"/>
        </w:trPr>
        <w:tc>
          <w:tcPr>
            <w:gridSpan w:val="14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570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Государственная программа Новосибирской области «Охрана окружающей среды»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30"/>
        </w:trPr>
        <w:tc>
          <w:tcPr>
            <w:gridSpan w:val="14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570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Цель государственной программы: повышение уровня экологической безопасности, сохранение природных систем, создание условий для рационального использования водных биологических ресурсов на территории 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Задача 1 государственной программы: улучшение экологи-ческой обстановки в 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 Доля обустроенных памятников природы регионального значения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13,21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32,08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69,81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94,34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исклю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чен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с 202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года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 не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оценивается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 Охват населения Новосибирской области эколого-просветительскими акциями и мероприятиями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чел.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315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restart"/>
            <w:textDirection w:val="lrTb"/>
            <w:noWrap/>
          </w:tcPr>
          <w:p>
            <w:pPr>
              <w:keepNext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Задача 2 государственной программы: создание условий для развития товарного рыбоводства и промышленного рыболовства на территории Новосибирской области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keepNext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 Объем вылова выращенной товарной рыбы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тонна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1509,4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1630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1640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keepNext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исключен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 года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 не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оценивается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4. Объем зарыбления рыбохозяйственных водоемов рыбопосадочным материалом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шт.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36800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36900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54000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введен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 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года,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2015 год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приведено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базовое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значение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исключен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 года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 не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оценивается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5. Объем промышленного вылова рыбы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тонна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4810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4820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5320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введен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 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года,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2015 год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приведено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базовое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значение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исключен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 года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 не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оценивается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6. Обеспеченность рыбохозяйственных водоемов, дополнительно вводимых в хозяйственный оборот в рамках государственной программы, рыбоводно-биологическими обоснованиями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80,4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60,83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исключен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 года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 не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оценивается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7. Протяженность очищенной береговой полосы водных объектов от мусора объектов рыбохозяйственного значения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исключен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 года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 не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оценивается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8. Количество разработанных рыбоводно-биологических обоснований по использованию рыбохозяйственных водоемов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ед./год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исключен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 года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 не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оценивается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restart"/>
            <w:textDirection w:val="lrTb"/>
            <w:noWrap/>
          </w:tcPr>
          <w:p>
            <w:pPr>
              <w:keepNext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Задача 3 государственной программы: развитие водохозяйственного комплекса 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keepNext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9. Доля населения, проживающего на защищенной в результате проведения противопаводковых мероприятий территории, в общей численности населения, проживающего на территории Новосибирской области, подверженной негативному воздействию вод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15,4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15,4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15,4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15,4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15,4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15,4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15,4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15,4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15,4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15,43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10. Доля протяженности участков русел рек, на которых осуществлены работы по оптимизации их пропускной способности, к общей протяженности участков русел рек, нуждающихся в увеличении пропускной способности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17,767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17,767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17,767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17,767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17,767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17,767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17,767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17,77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17,77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18,80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11. 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Доля гидротехнических сооружений, в том числе бесхозяйных, имеющих безопасное техническое состояние, в общем числе гидротехнических сооружений, в том числе бесхозяйных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66,67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66,67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68,42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68,42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введен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 года, на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2015 год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приведено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базовое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исключен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 года 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связи с введе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нием целевого индика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тора № 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12. 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Доля гидротехнических сооружений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неудовлетворительным и опасным уровнем безопасности, приведенных в безопасное техническое состояние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pStyle w:val="7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11,76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11,76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14,71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введен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 года, 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2018 год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приведено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базовое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13. Доля определенных (вынесенных на землеустроительные карты) водоохранных зон и прибрежных защитных полос водных объектов в протяженности береговой линии, требующей установления водоохранных зон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17,13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17,13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21,02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24,88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26,32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49,86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85,88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года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индикатор исключен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в связи с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введе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нием нового целе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вого индикатора № 14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 не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оценивается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14. Доля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установленных (нанесенных на землеустроительные карты) водоохранных зон и прибрежных защитных полос водных объектов в протяженности береговой линии, требующей установления водоохранных зон (участков водных объектов, испытывающих антропогенное воздействие)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17,11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24,93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25,9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27,67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введен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года, на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2020 год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приведено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базовое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15. Доля вынесенных в натуру водоохранных зон и прибрежных защитных полос в общей протяженности установленных водоохранных зон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17,12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76,94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81,52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68,85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66,47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49,91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28,98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59,59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76,10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57,69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16. Доля установленных (нанесенных на землеустроительные карты) границ водных объектов в протяженности береговых линий, требующих установления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0,86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22,99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92,57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28,27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введен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 года, на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2018 год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приведено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базовое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17. 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 xml:space="preserve">Площадь расчищенных водных объектов или их частей, 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 xml:space="preserve">находящихся в федераль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 xml:space="preserve">ной собственности и рас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 xml:space="preserve">положенных на террито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Arial Unicode MS"/>
                <w:sz w:val="20"/>
                <w:szCs w:val="20"/>
              </w:rPr>
              <w:t xml:space="preserve">рии Новосибирской области (ликвидация загрязнения и засорения)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5,9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11,76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25,32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42,81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исключен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 года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 не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оценивается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18. 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ротяженность расчищенных водных объектов или их частей, находящихся в федераль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ной собственности и рас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положенных на террито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рии Новосибирской области (ликвидация загрязнения и засорения)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pStyle w:val="7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1,22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1,74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введен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 года.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исключен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 года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19. Площадь восстановленных водных объектов, расположенных на территории 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pStyle w:val="7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40,4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введен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 года, на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2018 год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приведено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базовое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 года целевой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индикатор исключен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20. Протяженность расчищенных участков русел рек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4,22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8,8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8,8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введен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2019 году. Значе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ния целе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вого индикатора на 2020 год и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плано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вый период приве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дены в соот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ветст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вии с паспор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том регио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ного проекта «Сохранение и восстанов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ление водных объектов Ново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сибирской обла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сти».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РП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21. Количество населения, улучшившего экологические условия проживания вблизи водных объектов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чел.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введен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 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года.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Значения целевого инди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катора на 2020 год 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пла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новый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период приве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дены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соот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ветст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вии с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пас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портом регионального проекта «Сохранение и восстанов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ление водных объектов Новоси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бирской обла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сти».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РП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vMerge w:val="continue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чел.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0,0226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0,0106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0,0247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0,0247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22. Протяженность построенных берегоукре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пительных сооружений Новосибирского водохранилища 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участках, прилегающих к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населенным пунктам 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0,11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введен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 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года, на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2018 год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приведено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базовое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значение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23. Количество подтопляемых объектов (жилищного фонда (жилых домов), социально-культурной сферы) на территории Новосибирской области, выведенных из зоны подтопления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pStyle w:val="7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pStyle w:val="7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pStyle w:val="7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pStyle w:val="7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pStyle w:val="7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pStyle w:val="7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4772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3422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3449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3449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6442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введен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 года.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 2015 год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приведено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базовое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24. Количество наблюда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тельных гидрогеологи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ческих скважин опорной государственной территориальной сети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ед./год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25. Доля населенных пунктов, по которым подготовлены сведения о границах зон затопления, подтопления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введен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 года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26. Количество гидро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технических сооружений 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Новосибирской области, находящихся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муниципальной собственности, по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которым утверждены 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соответствии с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действующим законодательством декларации безопасности гидротехнических сооружений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шт.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введен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 года.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 2019 год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приведено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базовое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27. Количество гидро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технических сооружений 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Новосибирской области, находящихся 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муниципальной собственности, с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неудовлетворительным и опасным уровнем безопасности, приведенных 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безопасное техническое состояние, в ходе проведения текущего ремонта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шт.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введен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 года.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 2019 год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приведено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базовое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Задача 4 государственной программы: предупреж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дение 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снижение негативных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последствий, вызванных загрязнением окружающей среды биоло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гическими отходами, отде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льными видами опасных отходов и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отходами, являющи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мися вторичными мате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риальными ресурсами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28. Доля обезвреженных ртутьсодержащих отходов, образующихся 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населения Новосибирской области, от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заявленного количества образовавшихся отходов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введен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 года, на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2015 год приведено базовое значение, исключен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 года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29. Доля обезвреженных биологических отходов, образующихся 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населения Новосибирской области, от заявленного количества образовавшихся отходов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индикатор исключен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 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30. Доля утилизирован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ных 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(или) размещенных отходов гальванических элементов питания (батареек), образующихся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населения Новосибирской области, от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заявленного количества образовавшихся отходов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введен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 года, на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2017 год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приведено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базовое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исключен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 года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31. Доля утилизирован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ных 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Новосибирской области отходов стекла от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заявленного количества принятых отходов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введен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 года, на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2017 год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приведено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базовое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исключен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 201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 года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5 государ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ственной программы: обе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спечение устойчивого существования и устойчивого использова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охотничьих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ресурсов, сохранение их биологического разно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образия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32. Индекс численности охотничьих ресурсов в охотничьих хозяйствах по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видам (к уровню 2018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года):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введен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 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года, на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2018 год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приведено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базовое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значение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лось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косуля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соболь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1_721"/>
              <w:jc w:val="cente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33. Отношение фактической добычи охотничьих ресурсов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установленным лимитам добычи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видам: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введен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 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года, на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2018 год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приведено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базовое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значение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лось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73,4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74,6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75,2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75,8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косуля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78,0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соболь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бурый медведь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28,2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28,2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28,8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29,4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34. Доля нарушений, выявленных при осуществлении федерального государственного охотничьего надзора, по которым вынесены акты о привлечении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административной или уголовной ответственности,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общему количеству выявленных нарушений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введен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 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года, на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2018 год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приведено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базовое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значение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35. Количество проведенных охранных рейдов особо охраняемых природных территорий регионального значения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иных природных территорий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5980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введен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 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 Количество приобретенной специализированной техники и оборудования для проведения охраны особо охраняемых природных территорий регионального значения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иных природных территорий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введен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 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98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Задача 6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государ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ственной программы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геологическое изучение участков недр местного значения,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содержащих обще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распространенные полезные ископаемые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4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37. Площадь участков недр местного значения, содержащих общераспро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страненные полезные ископаемые,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которых проведено геологическое изучение в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целях поисков и оценки месторожде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нии общераспростране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нных полезных ископаемых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21,8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39,227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097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введен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 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31"/>
        <w:ind w:left="0"/>
        <w:jc w:val="both"/>
        <w:spacing w:after="0" w:line="240" w:lineRule="auto"/>
        <w:tabs>
          <w:tab w:val="left" w:pos="426" w:leader="none"/>
          <w:tab w:val="left" w:pos="17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31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 –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реализация осуществляется в рамках государственной программы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 02.02.2015 № 37-п.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31"/>
        <w:ind w:left="0"/>
        <w:jc w:val="center"/>
        <w:spacing w:after="0" w:line="240" w:lineRule="auto"/>
        <w:tabs>
          <w:tab w:val="left" w:pos="17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31"/>
        <w:ind w:left="0"/>
        <w:jc w:val="center"/>
        <w:spacing w:after="0" w:line="240" w:lineRule="auto"/>
        <w:tabs>
          <w:tab w:val="left" w:pos="17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31"/>
        <w:ind w:left="0"/>
        <w:jc w:val="center"/>
        <w:spacing w:after="0" w:line="240" w:lineRule="auto"/>
        <w:tabs>
          <w:tab w:val="left" w:pos="17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before="0" w:after="0"/>
        <w:rPr>
          <w:sz w:val="20"/>
          <w:szCs w:val="20"/>
          <w:highlight w:val="none"/>
        </w:rPr>
        <w:sectPr>
          <w:footnotePr/>
          <w:endnotePr/>
          <w:type w:val="oddPage"/>
          <w:pgSz w:w="16834" w:h="11909" w:orient="landscape"/>
          <w:pgMar w:top="1418" w:right="1134" w:bottom="567" w:left="1134" w:header="709" w:footer="709" w:gutter="0"/>
          <w:cols w:num="1" w:sep="0" w:space="60" w:equalWidth="1"/>
          <w:docGrid w:linePitch="360"/>
          <w:titlePg/>
        </w:sect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 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29.03.2024  № 147-п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Основные мероприятия, реализуемые с 2019 года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57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65"/>
        <w:gridCol w:w="1413"/>
        <w:gridCol w:w="707"/>
        <w:gridCol w:w="707"/>
        <w:gridCol w:w="706"/>
        <w:gridCol w:w="706"/>
        <w:gridCol w:w="988"/>
        <w:gridCol w:w="988"/>
        <w:gridCol w:w="988"/>
        <w:gridCol w:w="989"/>
        <w:gridCol w:w="988"/>
        <w:gridCol w:w="1411"/>
        <w:gridCol w:w="3250"/>
      </w:tblGrid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Наименование мероприятия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2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Ресурсное обеспечение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ГРБС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(ответ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ственный исполнитель)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Ожидаемый результат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(краткое описание)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источники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код бюджетной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классификации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 годам реализации, тыс. руб.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ГРБС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ГП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пГП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ind w:hanging="89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13"/>
            <w:tcMar>
              <w:left w:w="57" w:type="dxa"/>
              <w:top w:w="28" w:type="dxa"/>
              <w:right w:w="57" w:type="dxa"/>
              <w:bottom w:w="28" w:type="dxa"/>
            </w:tcMar>
            <w:tcW w:w="157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Цель государственной программы: повышение уровня экологической безопасности, сохранение природных систем, создание условий для рационального использования водных биологических ресурсов на территории 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13"/>
            <w:tcMar>
              <w:left w:w="57" w:type="dxa"/>
              <w:top w:w="28" w:type="dxa"/>
              <w:right w:w="57" w:type="dxa"/>
              <w:bottom w:w="28" w:type="dxa"/>
            </w:tcMar>
            <w:tcW w:w="157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 Задача 1 государственной программы: улучшение экологической обстановки в 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1.1.1. Обеспечение выполнения исследований состояния компонентов окружающей среды на территории 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1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1 498,8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1 000,0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2 494,5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МПР НСО,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организации, определяемые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соответствии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 законода-тельством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Обеспечение наблюдений за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состоянием компонентов окружающей среды на территории Новосибирской области. Основание для принятия административных мер к нарушителям природоохранного законодательства, расчета размеров нанесенного ущерба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местные бюджеты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restart"/>
            <w:textDirection w:val="lrTb"/>
            <w:noWrap w:val="false"/>
          </w:tcPr>
          <w:p>
            <w:pPr>
              <w:keepNext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1.1.2. Образование новых особо охра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няемых природных территорий, организация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keepNext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 обеспечение обустройства 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охраны памятников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природы регионального значения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областной бюджет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1 500,0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1 650,0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1 530,9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1 983,2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1 305,0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МПР НСО, организации, определяемые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соответствии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 законода-тельством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Обеспечение обустройства трех памятников природы регионального значения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Новосибирской области к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концу 2020 года. Создание одной новой ООПТ регионального значения к концу 2022 года, одной новой ООПТ региональ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ного значения к концу 2023 года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местные бюджеты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1.1.3. Организация и проведение эколого-просветительских мероприятий, в том числе направленных 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профилактику правонарушений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области охраны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окружающей среды и природо-поль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зования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областной бюджет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3 996,2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1 149,9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63,2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143,1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143,1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МПР НСО, ОМСУ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МО НСО, организации, определяемые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соответствии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 законода-тельством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Развитие системы традиционных экологических акций и мероприятий областного значения, привлечение широких кругов гражданского общества 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решению экологических проблем, повышение уровня экологического образования, воспитания, культуры населения, бережного отношения 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природе, профилактика правонарушений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области ох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раны окружающей среды и природо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пользования.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Обеспечение 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концу 2023 года охвата населения Новосибирской области эколого-просветительскими акциями и мероприятиями до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315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тыс.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чел.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местные бюджеты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1.1.4. Заполнение (составление) радиационно-гигиенического паспорта территории 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мероприятия осуществляется в рамках текущей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МПР НСО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МПР НСО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Проведение оценки воздействия основных источников ионизирующего излучения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1.1.5. Стимули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рование перевода транспортных средств на более экологичные виды топлива путем предоставления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налоговых льгот по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транспортному налогу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МПР НСО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Снижение негативного воздействия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состояние атмосферного воздуха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996,0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996,0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6 000,0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13"/>
            <w:tcMar>
              <w:left w:w="57" w:type="dxa"/>
              <w:top w:w="28" w:type="dxa"/>
              <w:right w:w="57" w:type="dxa"/>
              <w:bottom w:w="28" w:type="dxa"/>
            </w:tcMar>
            <w:tcW w:w="157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1.2. Задача 2 государственной программы: создание условий для развития товарного рыбоводства и промышленного рыболовства на территории 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vertAlign w:val="superscript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1.2.1. Оказание государственной поддержки юридическим лицам и индивидуальным предпринимателям (за исключением субсидий государственным (муниципальным) учреждениям) – производителям товаров, работ, услуг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сфере товарного рыбоводства 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промышленного рыболовства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20 000,0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МПР НСО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Увеличение к концу 2019 года объема вылова выращенной товарной рыбы до 1640 тонн, объема зарыбления рыбохозяйственных водоемов рыбопосадочным материалом до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54000 шт., объема промышленного вылова рыбы 8500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тонн, обеспеченность рыбохозяйственных водоемов, дополнительно вводимых в хозяйственный оборот в рамках государственной программы, рыбоводно-биологическими обоснованиями до 60,83%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1.2.2. Разработка и совершенствование проектов норматив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ных правовых актов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сфере государст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венного регули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рования товарного рыбоводства и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промышленного рыболовства, разработка рыбоводно-биологических обоснований по использованию рыбохозяйственных водоемов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МПР НСО, организации, определяемые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соответствии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 законода-тельством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Повышение эффективности товарного рыбоводства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промышленного рыболовства.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Увеличение количества рыбохозяйственных организаций, занимающихся товарным рыбоводством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 промышленным рыболовством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314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13"/>
            <w:tcMar>
              <w:left w:w="57" w:type="dxa"/>
              <w:top w:w="28" w:type="dxa"/>
              <w:right w:w="57" w:type="dxa"/>
              <w:bottom w:w="28" w:type="dxa"/>
            </w:tcMar>
            <w:tcW w:w="15767" w:type="dxa"/>
            <w:textDirection w:val="lrTb"/>
            <w:noWrap w:val="false"/>
          </w:tcPr>
          <w:p>
            <w:pPr>
              <w:pStyle w:val="31"/>
              <w:ind w:left="0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1.3. Задача 3 государственной программы: развитие водохозяйственного комплекса 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1.3.1. Капитальный ремонт гидротехнических сооружений Новосибирской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851,6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МПР НСО, организации, определяемые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соответствии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 законода-тельством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Сохранение в 2019 году доли гидротехнических сооруж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ений с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неудовлетворительным и опасным уровнем безопасности, приведенных в безопасное техническое состояние,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уровне 7,5%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3 019,0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203,7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1.3.2. Реконструкция гидротехнических сооружений 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2134,7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МПР НСО, организации, определяемые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соответствии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 законода-тельством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112,4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1.3.3. Осущест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вление мер по охране водных объектов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или иных частей, находящихся в федеральной собственности и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расположенных на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территории Но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восибирской области, а также по п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редотвращению 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ликвидации последствий негативного воздействия вод на эти водные объекты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МПР НСО, организации, определяемые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соответствии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 законода-тельством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Проведение мероприятий по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установлению границ водоохранных зон и прибрежных защитных полос и закрепление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местности специальными информационными знаками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19 411,4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5 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28,3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7 487,8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9 762,0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17 124,1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.4. Региональный проект «Сохране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ние и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восстановление водных объектов»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3 160,0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МПР НСО, организации, определяемые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соответствии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 законода-тельством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лучшение экологического состояния водных объектов, расположенных на территории Новосибирской области путем расчистки участков озер и русел рек от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илистых отложений и крупного мусора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130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G8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20 800,0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23 358,8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60 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076,0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20 017,8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1.3.5. Строительство берегоукре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пительных сооружений на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территории 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12 899,7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МПР НСО, ОМСУ МО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НСО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Мероприятие с 2022 года будет выполняться в рамках «1.3.5а. Защита территорий Новосибирской области от негативного воздействия вод»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971,4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1.3.5а. Защита терр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иторий Новосибирской области от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негативного воздействия вод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673,1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МПР НСО, ОМСУ МО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НСО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Корректировка сметной стоимости объекта «Строительство берегоукрепительных сооружений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Новосибирского водохранилища в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районе села Красный Яр Ордынского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района Новосибирской области».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Строительство объекта «Берегоукрепительные сооружения Новосибирского водохранилища 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районе с. Береговое, Новосибирский район Новосибирской области»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1.3.6. Предупреждение и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предотвращение подтопления (затопления) поверхностными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водами, а также понижение грунтовых вод на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территории населенных пунктов Новоси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131 620,0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120 752,4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17 472,0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34 908,3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35 408,3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МПР НСО, ОМСУ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МО НСО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Сокращение к концу 2023 года количества подтопляемых объектов жилищного фонда и социально-культурной сферы на территории Новосибирской области на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6442 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единицы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1 751,5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3 323,7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341,2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386,7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629,6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1.3.7. Обеспечение ведения мониторинга подземных вод и опасных экзогенных геологических процессов в рамках государственного мониторинга состояния недр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2 000,0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2 000,0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1 000,0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1 000,0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1 000,0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МПР НСО, организации, определяемые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соответствии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 законода-тельством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Обеспечение рационального и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безопасного использования подземных вод Новосибирской области на основе наблюдений, ведение банка данных, поддержка опорной государственной территориальной сети наблюдательных гидрогеологических скважин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1.3.8. Подготовка сведений о границах зон затопления, подтопления на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территории Новосибирской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7424,1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МПР НСО, организации, определяемые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соответствии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 законода-тельством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подготовки сведений о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границах зон затопления, подтопления 16 населенных пунктов Новосибирской области для подготовки предложений в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Федеральное агентство водных ресурсов в соответствии с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Правилами определения границ зон затопления, подтопления, утвержденными постановлением Правительства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Российской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Федерации от 18.04.2014 № 360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1.3.9. Обеспечение безопасности гидротехнических сооружений 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25 520,7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5 028,2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14 888,4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30 937,6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МПР НСО, организации, определяемые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соответствии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 законода-тельством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Достижение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2023 году дол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 гидротехнических сооружений с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неудовлетворительным и опасным уровнем безопасности, приведенных в безопасное техническое состояние,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до 14,71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130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19 572,7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1 734,2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26 230,6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3 320,6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134,8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143,8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1 887,0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13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57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1.5. Задача 5 государственной программы: обеспечение устойчивого существования и устойчивого использования охотничьих ресурсов, сохранение их биологического разнообразия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1.5.1. Реализация комплекса мер в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сфере охоты, сохранения и регулирования использования охотничьих ресурсов на территории 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96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мероприятия осуществляется в рамках текущей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МПР НСО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МПР НСО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Увеличение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 концу 2023 года (по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отношению к уровню 2018 года) численности основных видов охотничьих ресурсов на территории Новосибирской области,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частности: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лося – на 9 %, косули 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 21%, соболя 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 5%.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Увеличение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 концу 2023 года (по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отношению к уровню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2018 г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ода) фактической добычи охотничьих ресурсов к установленным лимитам добычи по видам: косули – на 12%, бурого медведя 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 6,8%.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Повышение количества выявляемых нарушений и доведение доли нарушений, выявленных при осуществлении федерального государственного охотничьего надзора, по которым вынесены акты о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привлечении к административной либо уголовной ответственности, до 99%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96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1.5.2. Создание условий функционирования государственных природных заказников регионального значения 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1 503,3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1 503,3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1 503,3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860,0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64 869,2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МПР НСО,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ГБУ НСО «Природо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охранная инспекция»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Функционирование государственных природных заказников регионального значения Новосибирской области. Улучшение их материально-технического обеспечения в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количестве одной единицы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13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57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1.6. Задача 6 государственной программы: геологическое изучение участков недр местного значения, содержащих общераспространенные полезные ископаемые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1.6.1. Осуществление комплекса работ по геологическому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изучению участков недр местного значения в целях поиска и оценки месторождений общераспро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страненных полезных ископаемых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8 680,0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9 680,0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МПР НСО, организации, определяемые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соответствии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 законода-тельством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Повышение изученности участков недр местного значения, увеличение ко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личества земельных участков, на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территории которых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осуществлялась добыча общераспространенных полезных ископаемых, необходимых для целей выполнения работ по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строительству, реконструкции и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капитальному ремонту, ремонту и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содержанию автомобильных дорог общего пользования. Проведение пространственно-геометрических измерений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(исследований) в недрах земли и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соответствующи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 участках ее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поверхности при осуществлении надзора и расчета объема учтенных и неучтенных запасов полезных ископаемых при оценке размера вреда, вызванного в том числе загрязнением недр, затоплением, обводнением, пожарами, а также самовольным пользованием недрами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184 429,6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154 084,3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28 096,4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64 136,1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148 997,7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43 545,0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48 359,8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67 563,8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31 514,0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43 354,7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3 039,0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6 644,3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476,0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552,4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2 516,9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87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996,0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996,0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6 000,0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31"/>
        <w:ind w:left="0"/>
        <w:jc w:val="both"/>
        <w:spacing w:after="0" w:line="240" w:lineRule="auto"/>
        <w:tabs>
          <w:tab w:val="left" w:pos="426" w:leader="none"/>
          <w:tab w:val="left" w:pos="17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31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реализация осуществляется в рамках государственной программы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 02.02.2015 № 37-п.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_________».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hd w:val="ni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 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29.03.2024  №</w:t>
      </w:r>
      <w:r>
        <w:rPr>
          <w:sz w:val="28"/>
          <w:szCs w:val="28"/>
        </w:rPr>
        <w:t xml:space="preserve"> 147-п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«ПРИЛОЖЕНИЕ № 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государственной программе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«Охрана окружающей среды»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СВОДНЫЕ ФИНАНСОВЫЕ ЗАТРАТЫ И НАЛОГОВЫЕ РАСХОДЫ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государственной программы Новосибирской области «Охрана окружающей среды»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60"/>
        <w:tblW w:w="157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1262"/>
        <w:gridCol w:w="1106"/>
        <w:gridCol w:w="1106"/>
        <w:gridCol w:w="1107"/>
        <w:gridCol w:w="1107"/>
        <w:gridCol w:w="1107"/>
        <w:gridCol w:w="1107"/>
        <w:gridCol w:w="1107"/>
        <w:gridCol w:w="1107"/>
        <w:gridCol w:w="1108"/>
        <w:gridCol w:w="1317"/>
      </w:tblGrid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направления расходов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разрезе государственных заказчиков государственной программы (главных распорядителей бюджетных средств, кураторов налоговых расходов)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0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33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Ресурсное обеспечение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3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9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00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годам реализации, тыс.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gridSpan w:val="1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587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финансовых затрат,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из: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1 491 878,1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124 334,8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111 050,0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210 148,5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219 034,8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231 013,6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209 088,4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96 136,2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96 202,5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194 869,3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федерального бюджета*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362 573,8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41 033,6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36 542,1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26 188,8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24 472,0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43 545,0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48 359,8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67 563,8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31 514,0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43 354,7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областного 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1 103 559,2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81 292,0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72 343,2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179 744,2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190 435,7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184 429,6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154 084,3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28 096,4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64 136,1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148 997,7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местных бюджетов*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25 745,1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2 164,7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4 215,5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4 127,1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3 039,0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6 644,3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552,4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2 516,9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внебюджетных источников*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Капитальные вложения,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из: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560 970,0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3 352,6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87 545,0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127 127,1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143 934,1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109 864,8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17 813,2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35 295,0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36 038,2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федерального бюджета*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областного 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545 607,2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3 185,0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84 082,5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123 000,0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141 654,4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105 896,7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17 472,0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34 908,3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35 408,3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местных бюджетов*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15 362,8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167,6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3 462,5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4 127,1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2 279,7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3 968,1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341,2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386,7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629,9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внебюджетных источников*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НИОКР**,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из: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федерального бюджета*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областного 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местных бюджетов*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внебюджетных источников*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расходы,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из: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930 908,1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124 334,8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107 697,4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122 603,5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91 907,7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87 079,5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99 223,6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78 323,0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60 907,5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158 831,1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федерального бюджета*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362 573,8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41 033,6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36 542,1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26 188,8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24 472,0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43 545,0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48 359,8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67 563,8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31 514,0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43 354,7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областного 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557 952,0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81 292,0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69 158,2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95 661,7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67 435,7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42 775,2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48 187,6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10 624,4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29 227,8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113 589,4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местных бюджетов*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10 382,3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1 997,1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2 676,2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165,7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1 887,0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внебюджетных источников*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налоговых расходов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27 192,0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6 000,0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gridSpan w:val="1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587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ПО ГОСУДАРСТВЕННОЙ ПРОГРАММЕ: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финансовых затрат,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из: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1 491 878,1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124 334,8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111 050,0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210 148,5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219 034,8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231 013,6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209 088,4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96 136,2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96 202,5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194 869,3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федерального бюджета*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362 573,8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41 033,6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36 542,1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26 188,8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24 472,0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43 545,0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48 359,8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67 563,8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31 514,0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43 354,7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областного 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1 103 559,2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81 292,0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72 343,2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179 744,2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190 435,7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184 429,6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154 084,3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28 096,4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64 136,1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148 997,7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местных бюджетов*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25 745,1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2 164,7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4 215,5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4 127,1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3 039,0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6 644,3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552,4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2 516,9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внебюджетных источников*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Капитальные вложения,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из: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560 970,0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3 352,6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87 545,0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127 127,1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143 934,1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109 864,8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17 813,2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35 295,0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36 038,2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федерального бюджета*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областного 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545 607,2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3 185,0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84 082,5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123 000,0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141 654,4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105 896,7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17 472,0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34 908,3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35 408,3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местных бюджетов*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15 362,8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167,6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3 462,5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4 127,1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2 279,7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3 968,1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341,2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386,7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629,9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внебюджетных источников*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НИОКР**,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из: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федерального бюджета*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областного 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местных бюджетов*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внебюджетных источников*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расходы,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из: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930 908,1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124 334,8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107 697,4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122 603,5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91 907,7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87 079,5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99 223,6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78 323,0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60 907,5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158 831,1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федерального бюджета*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362 573,8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41 033,6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36 542,1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26 188,8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24 472,0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43 545,0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48 359,8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67 563,8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31 514,0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43 354,7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областного 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557 952,0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81 292,0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69 158,2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95 661,7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67 435,7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42 775,2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48 187,6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10 624,4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29 227,8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113 589,4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местных бюджетов*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10 382,3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1 997,1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2 676,2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165,7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1 887,0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внебюджетных источников*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20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налоговых расходов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27 192,0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1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6 000,0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133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*Указываются прогнозные объемы.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**Научно-исследовательские и опытно-конструкторские работы.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/>
      <w:r/>
    </w:p>
    <w:sectPr>
      <w:footnotePr/>
      <w:endnotePr/>
      <w:type w:val="nextPage"/>
      <w:pgSz w:w="16834" w:h="11909" w:orient="landscape"/>
      <w:pgMar w:top="1418" w:right="1134" w:bottom="567" w:left="1134" w:header="680" w:footer="68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rPr>
        <w:sz w:val="16"/>
        <w:szCs w:val="16"/>
      </w:rPr>
    </w:pPr>
    <w:r>
      <w:rPr>
        <w:sz w:val="16"/>
        <w:szCs w:val="16"/>
      </w:rPr>
      <w:t xml:space="preserve">П</w:t>
    </w:r>
    <w:r>
      <w:rPr>
        <w:sz w:val="16"/>
        <w:szCs w:val="16"/>
      </w:rPr>
      <w:t xml:space="preserve">П/</w:t>
    </w:r>
    <w:r>
      <w:rPr>
        <w:sz w:val="16"/>
        <w:szCs w:val="16"/>
      </w:rPr>
      <w:t xml:space="preserve">0</w:t>
    </w:r>
    <w:r>
      <w:rPr>
        <w:sz w:val="16"/>
        <w:szCs w:val="16"/>
      </w:rPr>
      <w:t xml:space="preserve">2</w:t>
    </w:r>
    <w:r>
      <w:rPr>
        <w:sz w:val="16"/>
        <w:szCs w:val="16"/>
      </w:rPr>
      <w:t xml:space="preserve">/</w:t>
    </w:r>
    <w:r>
      <w:rPr>
        <w:sz w:val="16"/>
        <w:szCs w:val="16"/>
      </w:rPr>
      <w:t xml:space="preserve">57923</w:t>
    </w:r>
    <w:r>
      <w:rPr>
        <w:sz w:val="16"/>
        <w:szCs w:val="16"/>
      </w:rPr>
      <w:t xml:space="preserve">/</w:t>
    </w:r>
    <w:sdt>
      <w:sdtPr>
        <w15:appearance w15:val="boundingBox"/>
        <w:id w:val="-395514920"/>
        <w:placeholder>
          <w:docPart w:val="DefaultPlaceholder_-1854013438"/>
        </w:placeholder>
        <w:date w:fullDate="2024-03-26T00:00:00Z">
          <w:calendar w:val="gregorian"/>
          <w:dateFormat w:val="dd.MM.yyyy"/>
          <w:lid w:val="ru-RU"/>
        </w:date>
        <w:rPr>
          <w:sz w:val="16"/>
          <w:szCs w:val="16"/>
        </w:rPr>
      </w:sdtPr>
      <w:sdtContent>
        <w:r>
          <w:rPr>
            <w:sz w:val="16"/>
            <w:szCs w:val="16"/>
          </w:rPr>
          <w:t xml:space="preserve">26.03.2024</w:t>
        </w:r>
      </w:sdtContent>
    </w:sdt>
    <w:r/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6</w:t>
    </w:r>
    <w:r>
      <w:rPr>
        <w:sz w:val="20"/>
        <w:szCs w:val="20"/>
      </w:rPr>
      <w:fldChar w:fldCharType="end"/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0"/>
    <w:link w:val="69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0"/>
    <w:uiPriority w:val="34"/>
    <w:qFormat/>
    <w:pPr>
      <w:contextualSpacing/>
      <w:ind w:left="720"/>
    </w:pPr>
  </w:style>
  <w:style w:type="character" w:styleId="35">
    <w:name w:val="Title Char"/>
    <w:basedOn w:val="700"/>
    <w:link w:val="738"/>
    <w:uiPriority w:val="10"/>
    <w:rPr>
      <w:sz w:val="48"/>
      <w:szCs w:val="48"/>
    </w:rPr>
  </w:style>
  <w:style w:type="character" w:styleId="37">
    <w:name w:val="Subtitle Char"/>
    <w:basedOn w:val="700"/>
    <w:link w:val="771"/>
    <w:uiPriority w:val="11"/>
    <w:rPr>
      <w:sz w:val="24"/>
      <w:szCs w:val="24"/>
    </w:rPr>
  </w:style>
  <w:style w:type="paragraph" w:styleId="38">
    <w:name w:val="Quote"/>
    <w:basedOn w:val="690"/>
    <w:next w:val="69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0"/>
    <w:next w:val="69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0"/>
    <w:link w:val="716"/>
    <w:uiPriority w:val="99"/>
  </w:style>
  <w:style w:type="character" w:styleId="45">
    <w:name w:val="Footer Char"/>
    <w:basedOn w:val="700"/>
    <w:link w:val="718"/>
    <w:uiPriority w:val="99"/>
  </w:style>
  <w:style w:type="paragraph" w:styleId="46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8"/>
    <w:uiPriority w:val="99"/>
  </w:style>
  <w:style w:type="table" w:styleId="49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1"/>
    <w:uiPriority w:val="99"/>
    <w:rPr>
      <w:sz w:val="18"/>
    </w:rPr>
  </w:style>
  <w:style w:type="paragraph" w:styleId="178">
    <w:name w:val="endnote text"/>
    <w:basedOn w:val="69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0"/>
    <w:uiPriority w:val="99"/>
    <w:semiHidden/>
    <w:unhideWhenUsed/>
    <w:rPr>
      <w:vertAlign w:val="superscript"/>
    </w:rPr>
  </w:style>
  <w:style w:type="paragraph" w:styleId="181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qFormat/>
    <w:pPr>
      <w:spacing w:before="100" w:after="100"/>
    </w:pPr>
    <w:rPr>
      <w:sz w:val="24"/>
    </w:rPr>
  </w:style>
  <w:style w:type="paragraph" w:styleId="691">
    <w:name w:val="Heading 1"/>
    <w:basedOn w:val="690"/>
    <w:next w:val="690"/>
    <w:link w:val="703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92">
    <w:name w:val="Heading 2"/>
    <w:basedOn w:val="690"/>
    <w:next w:val="690"/>
    <w:link w:val="704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93">
    <w:name w:val="Heading 3"/>
    <w:basedOn w:val="690"/>
    <w:next w:val="690"/>
    <w:link w:val="705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694">
    <w:name w:val="Heading 4"/>
    <w:basedOn w:val="690"/>
    <w:next w:val="690"/>
    <w:link w:val="706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95">
    <w:name w:val="Heading 5"/>
    <w:basedOn w:val="690"/>
    <w:next w:val="690"/>
    <w:link w:val="707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696">
    <w:name w:val="Heading 6"/>
    <w:basedOn w:val="690"/>
    <w:next w:val="690"/>
    <w:link w:val="708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697">
    <w:name w:val="Heading 7"/>
    <w:basedOn w:val="690"/>
    <w:next w:val="690"/>
    <w:link w:val="709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698">
    <w:name w:val="Heading 8"/>
    <w:basedOn w:val="690"/>
    <w:next w:val="690"/>
    <w:link w:val="710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699">
    <w:name w:val="Heading 9"/>
    <w:basedOn w:val="690"/>
    <w:next w:val="690"/>
    <w:link w:val="711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Заголовок 1 Знак"/>
    <w:link w:val="691"/>
    <w:uiPriority w:val="99"/>
    <w:rPr>
      <w:rFonts w:ascii="Cambria" w:hAnsi="Cambria" w:cs="Times New Roman"/>
      <w:b/>
      <w:sz w:val="32"/>
    </w:rPr>
  </w:style>
  <w:style w:type="character" w:styleId="704" w:customStyle="1">
    <w:name w:val="Заголовок 2 Знак"/>
    <w:link w:val="692"/>
    <w:uiPriority w:val="99"/>
    <w:semiHidden/>
    <w:rPr>
      <w:rFonts w:ascii="Cambria" w:hAnsi="Cambria" w:cs="Times New Roman"/>
      <w:b/>
      <w:i/>
      <w:sz w:val="28"/>
    </w:rPr>
  </w:style>
  <w:style w:type="character" w:styleId="705" w:customStyle="1">
    <w:name w:val="Заголовок 3 Знак"/>
    <w:link w:val="693"/>
    <w:uiPriority w:val="99"/>
    <w:semiHidden/>
    <w:rPr>
      <w:rFonts w:ascii="Cambria" w:hAnsi="Cambria" w:cs="Times New Roman"/>
      <w:b/>
      <w:sz w:val="26"/>
    </w:rPr>
  </w:style>
  <w:style w:type="character" w:styleId="706" w:customStyle="1">
    <w:name w:val="Заголовок 4 Знак"/>
    <w:link w:val="694"/>
    <w:uiPriority w:val="99"/>
    <w:semiHidden/>
    <w:rPr>
      <w:rFonts w:ascii="Calibri" w:hAnsi="Calibri" w:cs="Times New Roman"/>
      <w:b/>
      <w:sz w:val="28"/>
    </w:rPr>
  </w:style>
  <w:style w:type="character" w:styleId="707" w:customStyle="1">
    <w:name w:val="Заголовок 5 Знак"/>
    <w:link w:val="695"/>
    <w:uiPriority w:val="99"/>
    <w:semiHidden/>
    <w:rPr>
      <w:rFonts w:ascii="Calibri" w:hAnsi="Calibri" w:cs="Times New Roman"/>
      <w:b/>
      <w:i/>
      <w:sz w:val="26"/>
    </w:rPr>
  </w:style>
  <w:style w:type="character" w:styleId="708" w:customStyle="1">
    <w:name w:val="Заголовок 6 Знак"/>
    <w:link w:val="696"/>
    <w:uiPriority w:val="99"/>
    <w:semiHidden/>
    <w:rPr>
      <w:rFonts w:ascii="Calibri" w:hAnsi="Calibri" w:cs="Times New Roman"/>
      <w:b/>
    </w:rPr>
  </w:style>
  <w:style w:type="character" w:styleId="709" w:customStyle="1">
    <w:name w:val="Заголовок 7 Знак"/>
    <w:link w:val="697"/>
    <w:uiPriority w:val="99"/>
    <w:semiHidden/>
    <w:rPr>
      <w:rFonts w:ascii="Calibri" w:hAnsi="Calibri" w:cs="Times New Roman"/>
      <w:sz w:val="24"/>
    </w:rPr>
  </w:style>
  <w:style w:type="character" w:styleId="710" w:customStyle="1">
    <w:name w:val="Заголовок 8 Знак"/>
    <w:link w:val="698"/>
    <w:uiPriority w:val="99"/>
    <w:semiHidden/>
    <w:rPr>
      <w:rFonts w:ascii="Calibri" w:hAnsi="Calibri" w:cs="Times New Roman"/>
      <w:i/>
      <w:sz w:val="24"/>
    </w:rPr>
  </w:style>
  <w:style w:type="character" w:styleId="711" w:customStyle="1">
    <w:name w:val="Заголовок 9 Знак"/>
    <w:link w:val="699"/>
    <w:uiPriority w:val="99"/>
    <w:semiHidden/>
    <w:rPr>
      <w:rFonts w:ascii="Cambria" w:hAnsi="Cambria" w:cs="Times New Roman"/>
    </w:rPr>
  </w:style>
  <w:style w:type="paragraph" w:styleId="712">
    <w:name w:val="Balloon Text"/>
    <w:basedOn w:val="690"/>
    <w:link w:val="713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713" w:customStyle="1">
    <w:name w:val="Текст выноски Знак"/>
    <w:link w:val="712"/>
    <w:uiPriority w:val="99"/>
    <w:semiHidden/>
    <w:rPr>
      <w:rFonts w:ascii="Tahoma" w:hAnsi="Tahoma" w:cs="Times New Roman"/>
      <w:sz w:val="16"/>
    </w:rPr>
  </w:style>
  <w:style w:type="paragraph" w:styleId="714">
    <w:name w:val="Body Text"/>
    <w:basedOn w:val="690"/>
    <w:link w:val="715"/>
    <w:uiPriority w:val="99"/>
    <w:pPr>
      <w:jc w:val="both"/>
      <w:spacing w:before="0" w:after="0"/>
    </w:pPr>
    <w:rPr>
      <w:sz w:val="28"/>
      <w:szCs w:val="28"/>
    </w:rPr>
  </w:style>
  <w:style w:type="character" w:styleId="715" w:customStyle="1">
    <w:name w:val="Основной текст Знак"/>
    <w:link w:val="714"/>
    <w:uiPriority w:val="99"/>
    <w:rPr>
      <w:rFonts w:cs="Times New Roman"/>
      <w:sz w:val="20"/>
    </w:rPr>
  </w:style>
  <w:style w:type="paragraph" w:styleId="716">
    <w:name w:val="Header"/>
    <w:basedOn w:val="690"/>
    <w:link w:val="717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17" w:customStyle="1">
    <w:name w:val="Верхний колонтитул Знак"/>
    <w:link w:val="716"/>
    <w:uiPriority w:val="99"/>
    <w:rPr>
      <w:rFonts w:cs="Times New Roman"/>
      <w:sz w:val="28"/>
      <w:lang w:val="ru-RU" w:eastAsia="ru-RU"/>
    </w:rPr>
  </w:style>
  <w:style w:type="paragraph" w:styleId="718">
    <w:name w:val="Footer"/>
    <w:basedOn w:val="690"/>
    <w:link w:val="719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19" w:customStyle="1">
    <w:name w:val="Нижний колонтитул Знак"/>
    <w:link w:val="718"/>
    <w:uiPriority w:val="99"/>
    <w:rPr>
      <w:rFonts w:cs="Times New Roman"/>
      <w:sz w:val="28"/>
      <w:lang w:val="ru-RU" w:eastAsia="ru-RU"/>
    </w:rPr>
  </w:style>
  <w:style w:type="paragraph" w:styleId="720">
    <w:name w:val="Body Text 2"/>
    <w:basedOn w:val="690"/>
    <w:link w:val="721"/>
    <w:uiPriority w:val="99"/>
    <w:pPr>
      <w:jc w:val="center"/>
      <w:spacing w:before="0" w:after="0"/>
    </w:pPr>
    <w:rPr>
      <w:sz w:val="28"/>
      <w:szCs w:val="28"/>
    </w:rPr>
  </w:style>
  <w:style w:type="character" w:styleId="721" w:customStyle="1">
    <w:name w:val="Основной текст 2 Знак"/>
    <w:link w:val="720"/>
    <w:uiPriority w:val="99"/>
    <w:semiHidden/>
    <w:rPr>
      <w:rFonts w:cs="Times New Roman"/>
      <w:sz w:val="20"/>
    </w:rPr>
  </w:style>
  <w:style w:type="paragraph" w:styleId="722">
    <w:name w:val="Body Text Indent 2"/>
    <w:basedOn w:val="690"/>
    <w:link w:val="723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723" w:customStyle="1">
    <w:name w:val="Основной текст с отступом 2 Знак"/>
    <w:link w:val="722"/>
    <w:uiPriority w:val="99"/>
    <w:semiHidden/>
    <w:rPr>
      <w:rFonts w:cs="Times New Roman"/>
      <w:sz w:val="20"/>
    </w:rPr>
  </w:style>
  <w:style w:type="character" w:styleId="724">
    <w:name w:val="page number"/>
    <w:uiPriority w:val="99"/>
    <w:rPr>
      <w:rFonts w:cs="Times New Roman"/>
    </w:rPr>
  </w:style>
  <w:style w:type="paragraph" w:styleId="725">
    <w:name w:val="Body Text Indent 3"/>
    <w:basedOn w:val="690"/>
    <w:link w:val="726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726" w:customStyle="1">
    <w:name w:val="Основной текст с отступом 3 Знак"/>
    <w:link w:val="725"/>
    <w:uiPriority w:val="99"/>
    <w:semiHidden/>
    <w:rPr>
      <w:rFonts w:cs="Times New Roman"/>
      <w:sz w:val="16"/>
    </w:rPr>
  </w:style>
  <w:style w:type="paragraph" w:styleId="727" w:customStyle="1">
    <w:name w:val="ConsNormal"/>
    <w:pPr>
      <w:ind w:firstLine="720"/>
    </w:pPr>
    <w:rPr>
      <w:rFonts w:ascii="Arial" w:hAnsi="Arial" w:cs="Arial"/>
    </w:rPr>
  </w:style>
  <w:style w:type="paragraph" w:styleId="728" w:customStyle="1">
    <w:name w:val="ConsNonformat"/>
    <w:rPr>
      <w:rFonts w:ascii="Courier New" w:hAnsi="Courier New" w:cs="Courier New"/>
    </w:rPr>
  </w:style>
  <w:style w:type="paragraph" w:styleId="729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730">
    <w:name w:val="Body Text 3"/>
    <w:basedOn w:val="690"/>
    <w:link w:val="731"/>
    <w:uiPriority w:val="99"/>
    <w:pPr>
      <w:jc w:val="both"/>
      <w:spacing w:before="0" w:after="0"/>
      <w:widowControl w:val="off"/>
    </w:pPr>
    <w:rPr>
      <w:szCs w:val="24"/>
    </w:rPr>
  </w:style>
  <w:style w:type="character" w:styleId="731" w:customStyle="1">
    <w:name w:val="Основной текст 3 Знак"/>
    <w:link w:val="730"/>
    <w:uiPriority w:val="99"/>
    <w:semiHidden/>
    <w:rPr>
      <w:rFonts w:cs="Times New Roman"/>
      <w:sz w:val="16"/>
    </w:rPr>
  </w:style>
  <w:style w:type="paragraph" w:styleId="732" w:customStyle="1">
    <w:name w:val="Заголовок4"/>
    <w:basedOn w:val="691"/>
    <w:next w:val="695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733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734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735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736">
    <w:name w:val="Normal (Web)"/>
    <w:basedOn w:val="690"/>
    <w:uiPriority w:val="99"/>
    <w:pPr>
      <w:spacing w:beforeAutospacing="1" w:afterAutospacing="1"/>
    </w:pPr>
    <w:rPr>
      <w:color w:val="000000"/>
      <w:szCs w:val="24"/>
    </w:rPr>
  </w:style>
  <w:style w:type="paragraph" w:styleId="737" w:customStyle="1">
    <w:name w:val="ConsPlusTitle"/>
    <w:rPr>
      <w:b/>
      <w:bCs/>
      <w:sz w:val="28"/>
      <w:szCs w:val="28"/>
    </w:rPr>
  </w:style>
  <w:style w:type="paragraph" w:styleId="738">
    <w:name w:val="Title"/>
    <w:basedOn w:val="690"/>
    <w:link w:val="739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739" w:customStyle="1">
    <w:name w:val="Заголовок Знак"/>
    <w:link w:val="738"/>
    <w:uiPriority w:val="99"/>
    <w:rPr>
      <w:rFonts w:ascii="Cambria" w:hAnsi="Cambria" w:cs="Times New Roman"/>
      <w:b/>
      <w:sz w:val="32"/>
    </w:rPr>
  </w:style>
  <w:style w:type="paragraph" w:styleId="740" w:customStyle="1">
    <w:name w:val="Термин"/>
    <w:basedOn w:val="690"/>
    <w:next w:val="690"/>
    <w:uiPriority w:val="99"/>
    <w:pPr>
      <w:spacing w:before="0" w:after="0"/>
    </w:pPr>
    <w:rPr>
      <w:szCs w:val="24"/>
      <w:lang w:val="pl-PL"/>
    </w:rPr>
  </w:style>
  <w:style w:type="paragraph" w:styleId="741" w:customStyle="1">
    <w:name w:val="H1"/>
    <w:basedOn w:val="690"/>
    <w:next w:val="690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742" w:customStyle="1">
    <w:name w:val="Список определений"/>
    <w:basedOn w:val="690"/>
    <w:next w:val="740"/>
    <w:uiPriority w:val="99"/>
    <w:pPr>
      <w:ind w:left="360"/>
      <w:spacing w:before="0" w:after="0"/>
    </w:pPr>
    <w:rPr>
      <w:szCs w:val="24"/>
      <w:lang w:val="pl-PL"/>
    </w:rPr>
  </w:style>
  <w:style w:type="paragraph" w:styleId="743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744" w:customStyle="1">
    <w:name w:val="Preformat"/>
    <w:uiPriority w:val="99"/>
    <w:rPr>
      <w:rFonts w:ascii="Courier New" w:hAnsi="Courier New" w:cs="Courier New"/>
    </w:rPr>
  </w:style>
  <w:style w:type="paragraph" w:styleId="745">
    <w:name w:val="Block Text"/>
    <w:basedOn w:val="690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746" w:customStyle="1">
    <w:name w:val="Цветовое выделение"/>
    <w:uiPriority w:val="99"/>
    <w:rPr>
      <w:b/>
      <w:color w:val="000080"/>
      <w:sz w:val="20"/>
    </w:rPr>
  </w:style>
  <w:style w:type="character" w:styleId="747" w:customStyle="1">
    <w:name w:val="Не вступил в силу"/>
    <w:uiPriority w:val="99"/>
    <w:rPr>
      <w:color w:val="008080"/>
      <w:sz w:val="20"/>
    </w:rPr>
  </w:style>
  <w:style w:type="paragraph" w:styleId="748" w:customStyle="1">
    <w:name w:val="Таблицы (моноширинный)"/>
    <w:basedOn w:val="690"/>
    <w:next w:val="690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749">
    <w:name w:val="Plain Text"/>
    <w:basedOn w:val="690"/>
    <w:link w:val="750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750" w:customStyle="1">
    <w:name w:val="Текст Знак"/>
    <w:link w:val="749"/>
    <w:uiPriority w:val="99"/>
    <w:semiHidden/>
    <w:rPr>
      <w:rFonts w:ascii="Courier New" w:hAnsi="Courier New" w:cs="Times New Roman"/>
      <w:sz w:val="20"/>
    </w:rPr>
  </w:style>
  <w:style w:type="paragraph" w:styleId="751">
    <w:name w:val="footnote text"/>
    <w:basedOn w:val="690"/>
    <w:link w:val="752"/>
    <w:uiPriority w:val="99"/>
    <w:semiHidden/>
    <w:pPr>
      <w:spacing w:before="0" w:after="0"/>
    </w:pPr>
    <w:rPr>
      <w:sz w:val="20"/>
    </w:rPr>
  </w:style>
  <w:style w:type="character" w:styleId="752" w:customStyle="1">
    <w:name w:val="Текст сноски Знак"/>
    <w:link w:val="751"/>
    <w:uiPriority w:val="99"/>
    <w:semiHidden/>
    <w:rPr>
      <w:rFonts w:cs="Times New Roman"/>
      <w:sz w:val="20"/>
    </w:rPr>
  </w:style>
  <w:style w:type="paragraph" w:styleId="753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754" w:customStyle="1">
    <w:name w:val="Основной шрифт абзаца1"/>
    <w:uiPriority w:val="99"/>
    <w:rPr>
      <w:sz w:val="20"/>
    </w:rPr>
  </w:style>
  <w:style w:type="paragraph" w:styleId="755" w:customStyle="1">
    <w:name w:val="Îñíîâíîé òåêñò"/>
    <w:basedOn w:val="756"/>
    <w:uiPriority w:val="99"/>
    <w:rPr>
      <w:sz w:val="28"/>
      <w:szCs w:val="28"/>
    </w:rPr>
  </w:style>
  <w:style w:type="paragraph" w:styleId="756" w:customStyle="1">
    <w:name w:val="Îáû÷íûé"/>
    <w:uiPriority w:val="99"/>
    <w:rPr>
      <w:lang w:eastAsia="ar-SA"/>
    </w:rPr>
  </w:style>
  <w:style w:type="character" w:styleId="757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758">
    <w:name w:val="Body Text Indent"/>
    <w:basedOn w:val="690"/>
    <w:link w:val="759"/>
    <w:uiPriority w:val="99"/>
    <w:pPr>
      <w:ind w:left="283"/>
      <w:spacing w:before="0" w:after="120"/>
    </w:pPr>
    <w:rPr>
      <w:sz w:val="28"/>
      <w:szCs w:val="28"/>
    </w:rPr>
  </w:style>
  <w:style w:type="character" w:styleId="759" w:customStyle="1">
    <w:name w:val="Основной текст с отступом Знак"/>
    <w:link w:val="758"/>
    <w:uiPriority w:val="99"/>
    <w:semiHidden/>
    <w:rPr>
      <w:rFonts w:cs="Times New Roman"/>
      <w:sz w:val="20"/>
    </w:rPr>
  </w:style>
  <w:style w:type="table" w:styleId="760">
    <w:name w:val="Table Grid"/>
    <w:basedOn w:val="70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61">
    <w:name w:val="footnote reference"/>
    <w:uiPriority w:val="99"/>
    <w:semiHidden/>
    <w:rPr>
      <w:rFonts w:cs="Times New Roman"/>
      <w:vertAlign w:val="superscript"/>
    </w:rPr>
  </w:style>
  <w:style w:type="paragraph" w:styleId="762" w:customStyle="1">
    <w:name w:val="Прижатый влево"/>
    <w:basedOn w:val="690"/>
    <w:next w:val="690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763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764" w:customStyle="1">
    <w:name w:val="заголовок 1"/>
    <w:basedOn w:val="690"/>
    <w:next w:val="690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765" w:customStyle="1">
    <w:name w:val="Кому"/>
    <w:basedOn w:val="690"/>
    <w:uiPriority w:val="99"/>
    <w:pPr>
      <w:spacing w:before="0" w:after="0"/>
    </w:pPr>
    <w:rPr>
      <w:rFonts w:ascii="Baltica" w:hAnsi="Baltica" w:cs="Baltica"/>
      <w:szCs w:val="24"/>
    </w:rPr>
  </w:style>
  <w:style w:type="paragraph" w:styleId="766" w:customStyle="1">
    <w:name w:val="заголовок 2"/>
    <w:basedOn w:val="690"/>
    <w:next w:val="690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767" w:customStyle="1">
    <w:name w:val="Цитаты"/>
    <w:basedOn w:val="690"/>
    <w:uiPriority w:val="99"/>
    <w:pPr>
      <w:ind w:left="360" w:right="360"/>
    </w:pPr>
    <w:rPr>
      <w:szCs w:val="24"/>
    </w:rPr>
  </w:style>
  <w:style w:type="character" w:styleId="768">
    <w:name w:val="Hyperlink"/>
    <w:uiPriority w:val="99"/>
    <w:rPr>
      <w:rFonts w:cs="Times New Roman"/>
      <w:color w:val="0000ff"/>
      <w:u w:val="single"/>
    </w:rPr>
  </w:style>
  <w:style w:type="paragraph" w:styleId="769" w:customStyle="1">
    <w:name w:val="заголовок 3"/>
    <w:basedOn w:val="690"/>
    <w:next w:val="690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770">
    <w:name w:val="Strong"/>
    <w:uiPriority w:val="99"/>
    <w:qFormat/>
    <w:rPr>
      <w:rFonts w:cs="Times New Roman"/>
      <w:b/>
    </w:rPr>
  </w:style>
  <w:style w:type="paragraph" w:styleId="771">
    <w:name w:val="Subtitle"/>
    <w:basedOn w:val="690"/>
    <w:link w:val="772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772" w:customStyle="1">
    <w:name w:val="Подзаголовок Знак"/>
    <w:link w:val="771"/>
    <w:uiPriority w:val="99"/>
    <w:rPr>
      <w:rFonts w:ascii="Cambria" w:hAnsi="Cambria" w:cs="Times New Roman"/>
      <w:sz w:val="24"/>
    </w:rPr>
  </w:style>
  <w:style w:type="paragraph" w:styleId="773" w:customStyle="1">
    <w:name w:val="заголовок 6"/>
    <w:basedOn w:val="690"/>
    <w:next w:val="690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774" w:customStyle="1">
    <w:name w:val="Гиперссылка1"/>
    <w:uiPriority w:val="99"/>
    <w:rPr>
      <w:color w:val="0000ff"/>
      <w:u w:val="none"/>
    </w:rPr>
  </w:style>
  <w:style w:type="paragraph" w:styleId="775">
    <w:name w:val="envelope return"/>
    <w:basedOn w:val="690"/>
    <w:uiPriority w:val="99"/>
    <w:pPr>
      <w:ind w:right="57"/>
      <w:jc w:val="both"/>
      <w:spacing w:before="0" w:after="0"/>
    </w:pPr>
    <w:rPr>
      <w:szCs w:val="24"/>
    </w:rPr>
  </w:style>
  <w:style w:type="character" w:styleId="776" w:customStyle="1">
    <w:name w:val="text11"/>
    <w:uiPriority w:val="99"/>
    <w:rPr>
      <w:rFonts w:ascii="Arial" w:hAnsi="Arial"/>
      <w:color w:val="auto"/>
      <w:sz w:val="20"/>
    </w:rPr>
  </w:style>
  <w:style w:type="paragraph" w:styleId="777" w:customStyle="1">
    <w:name w:val="заголовок 5"/>
    <w:basedOn w:val="690"/>
    <w:next w:val="690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778" w:customStyle="1">
    <w:name w:val="Знак 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79" w:customStyle="1">
    <w:name w:val="Знак Знак Знак Знак Знак Знак Знак 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0" w:customStyle="1">
    <w:name w:val="Об"/>
    <w:uiPriority w:val="99"/>
    <w:pPr>
      <w:widowControl w:val="off"/>
    </w:pPr>
  </w:style>
  <w:style w:type="paragraph" w:styleId="781" w:customStyle="1">
    <w:name w:val="Прикольный"/>
    <w:basedOn w:val="780"/>
    <w:uiPriority w:val="99"/>
  </w:style>
  <w:style w:type="paragraph" w:styleId="782" w:customStyle="1">
    <w:name w:val="Знак Знак Знак Знак1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3" w:customStyle="1">
    <w:name w:val="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4" w:customStyle="1">
    <w:name w:val="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5" w:customStyle="1">
    <w:name w:val="Знак Знак Знак Знак2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6" w:customStyle="1">
    <w:name w:val="Знак Знак Знак Знак1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7" w:customStyle="1">
    <w:name w:val="Знак1 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8" w:customStyle="1">
    <w:name w:val="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9" w:customStyle="1">
    <w:name w:val="Знак Знак Знак Знак1 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0" w:customStyle="1">
    <w:name w:val="Знак Знак Знак1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791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792" w:customStyle="1">
    <w:name w:val="????????"/>
    <w:basedOn w:val="690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793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794" w:customStyle="1">
    <w:name w:val="Основной текст (4)"/>
    <w:link w:val="795"/>
    <w:uiPriority w:val="99"/>
    <w:rPr>
      <w:b/>
      <w:sz w:val="18"/>
    </w:rPr>
  </w:style>
  <w:style w:type="paragraph" w:styleId="795" w:customStyle="1">
    <w:name w:val="Основной текст (4)1"/>
    <w:basedOn w:val="690"/>
    <w:link w:val="794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796" w:customStyle="1">
    <w:name w:val="Основной текст (3)"/>
    <w:link w:val="797"/>
    <w:uiPriority w:val="99"/>
    <w:rPr>
      <w:sz w:val="28"/>
    </w:rPr>
  </w:style>
  <w:style w:type="paragraph" w:styleId="797" w:customStyle="1">
    <w:name w:val="Основной текст (3)1"/>
    <w:basedOn w:val="690"/>
    <w:link w:val="796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798" w:customStyle="1">
    <w:name w:val="Текст (лев. подпись)"/>
    <w:basedOn w:val="690"/>
    <w:next w:val="690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799" w:customStyle="1">
    <w:name w:val="Текст (прав. подпись)"/>
    <w:basedOn w:val="690"/>
    <w:next w:val="690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800" w:customStyle="1">
    <w:name w:val="Font Style12"/>
    <w:rPr>
      <w:rFonts w:ascii="Times New Roman" w:hAnsi="Times New Roman"/>
      <w:sz w:val="18"/>
    </w:rPr>
  </w:style>
  <w:style w:type="character" w:styleId="801">
    <w:name w:val="Placeholder Text"/>
    <w:uiPriority w:val="99"/>
    <w:semiHidden/>
    <w:rPr>
      <w:color w:val="808080"/>
    </w:rPr>
  </w:style>
  <w:style w:type="paragraph" w:styleId="802" w:customStyle="1">
    <w:name w:val="docdata"/>
    <w:basedOn w:val="690"/>
    <w:pPr>
      <w:spacing w:beforeAutospacing="1" w:afterAutospacing="1"/>
    </w:pPr>
    <w:rPr>
      <w:szCs w:val="24"/>
    </w:rPr>
  </w:style>
  <w:style w:type="paragraph" w:styleId="1_721" w:customStyle="1">
    <w:name w:val="s_1"/>
    <w:basedOn w:val="66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>
          <w:r>
            <w:rPr>
              <w:rStyle w:val="1238"/>
            </w:rPr>
            <w:t xml:space="preserve">Место для ввода даты.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50">
    <w:name w:val="Heading 1"/>
    <w:basedOn w:val="1234"/>
    <w:next w:val="1234"/>
    <w:link w:val="2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1235"/>
    <w:link w:val="250"/>
    <w:uiPriority w:val="9"/>
    <w:rPr>
      <w:rFonts w:ascii="Arial" w:hAnsi="Arial" w:eastAsia="Arial" w:cs="Arial"/>
      <w:sz w:val="40"/>
      <w:szCs w:val="40"/>
    </w:rPr>
  </w:style>
  <w:style w:type="paragraph" w:styleId="252">
    <w:name w:val="Heading 2"/>
    <w:basedOn w:val="1234"/>
    <w:next w:val="1234"/>
    <w:link w:val="2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1235"/>
    <w:link w:val="252"/>
    <w:uiPriority w:val="9"/>
    <w:rPr>
      <w:rFonts w:ascii="Arial" w:hAnsi="Arial" w:eastAsia="Arial" w:cs="Arial"/>
      <w:sz w:val="34"/>
    </w:rPr>
  </w:style>
  <w:style w:type="paragraph" w:styleId="254">
    <w:name w:val="Heading 3"/>
    <w:basedOn w:val="1234"/>
    <w:next w:val="1234"/>
    <w:link w:val="2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1235"/>
    <w:link w:val="254"/>
    <w:uiPriority w:val="9"/>
    <w:rPr>
      <w:rFonts w:ascii="Arial" w:hAnsi="Arial" w:eastAsia="Arial" w:cs="Arial"/>
      <w:sz w:val="30"/>
      <w:szCs w:val="30"/>
    </w:rPr>
  </w:style>
  <w:style w:type="paragraph" w:styleId="256">
    <w:name w:val="Heading 4"/>
    <w:basedOn w:val="1234"/>
    <w:next w:val="1234"/>
    <w:link w:val="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1235"/>
    <w:link w:val="256"/>
    <w:uiPriority w:val="9"/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1234"/>
    <w:next w:val="1234"/>
    <w:link w:val="2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1235"/>
    <w:link w:val="258"/>
    <w:uiPriority w:val="9"/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1234"/>
    <w:next w:val="1234"/>
    <w:link w:val="2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1235"/>
    <w:link w:val="260"/>
    <w:uiPriority w:val="9"/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1234"/>
    <w:next w:val="1234"/>
    <w:link w:val="2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1235"/>
    <w:link w:val="2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1234"/>
    <w:next w:val="1234"/>
    <w:link w:val="2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1235"/>
    <w:link w:val="264"/>
    <w:uiPriority w:val="9"/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1234"/>
    <w:next w:val="1234"/>
    <w:link w:val="2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1235"/>
    <w:link w:val="266"/>
    <w:uiPriority w:val="9"/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1234"/>
    <w:uiPriority w:val="34"/>
    <w:qFormat/>
    <w:pPr>
      <w:contextualSpacing/>
      <w:ind w:left="720"/>
    </w:pPr>
  </w:style>
  <w:style w:type="paragraph" w:styleId="270">
    <w:name w:val="No Spacing"/>
    <w:uiPriority w:val="1"/>
    <w:qFormat/>
    <w:pPr>
      <w:spacing w:before="0" w:after="0" w:line="240" w:lineRule="auto"/>
    </w:pPr>
  </w:style>
  <w:style w:type="paragraph" w:styleId="271">
    <w:name w:val="Title"/>
    <w:basedOn w:val="1234"/>
    <w:next w:val="1234"/>
    <w:link w:val="2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72">
    <w:name w:val="Title Char"/>
    <w:basedOn w:val="1235"/>
    <w:link w:val="271"/>
    <w:uiPriority w:val="10"/>
    <w:rPr>
      <w:sz w:val="48"/>
      <w:szCs w:val="48"/>
    </w:rPr>
  </w:style>
  <w:style w:type="paragraph" w:styleId="273">
    <w:name w:val="Subtitle"/>
    <w:basedOn w:val="1234"/>
    <w:next w:val="1234"/>
    <w:link w:val="274"/>
    <w:uiPriority w:val="11"/>
    <w:qFormat/>
    <w:pPr>
      <w:spacing w:before="200" w:after="200"/>
    </w:pPr>
    <w:rPr>
      <w:sz w:val="24"/>
      <w:szCs w:val="24"/>
    </w:rPr>
  </w:style>
  <w:style w:type="character" w:styleId="274">
    <w:name w:val="Subtitle Char"/>
    <w:basedOn w:val="1235"/>
    <w:link w:val="273"/>
    <w:uiPriority w:val="11"/>
    <w:rPr>
      <w:sz w:val="24"/>
      <w:szCs w:val="24"/>
    </w:rPr>
  </w:style>
  <w:style w:type="paragraph" w:styleId="275">
    <w:name w:val="Quote"/>
    <w:basedOn w:val="1234"/>
    <w:next w:val="1234"/>
    <w:link w:val="276"/>
    <w:uiPriority w:val="29"/>
    <w:qFormat/>
    <w:pPr>
      <w:ind w:left="720" w:right="720"/>
    </w:pPr>
    <w:rPr>
      <w:i/>
    </w:rPr>
  </w:style>
  <w:style w:type="character" w:styleId="276">
    <w:name w:val="Quote Char"/>
    <w:link w:val="275"/>
    <w:uiPriority w:val="29"/>
    <w:rPr>
      <w:i/>
    </w:rPr>
  </w:style>
  <w:style w:type="paragraph" w:styleId="277">
    <w:name w:val="Intense Quote"/>
    <w:basedOn w:val="1234"/>
    <w:next w:val="1234"/>
    <w:link w:val="2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8">
    <w:name w:val="Intense Quote Char"/>
    <w:link w:val="277"/>
    <w:uiPriority w:val="30"/>
    <w:rPr>
      <w:i/>
    </w:rPr>
  </w:style>
  <w:style w:type="paragraph" w:styleId="279">
    <w:name w:val="Header"/>
    <w:basedOn w:val="1234"/>
    <w:link w:val="2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0">
    <w:name w:val="Header Char"/>
    <w:basedOn w:val="1235"/>
    <w:link w:val="279"/>
    <w:uiPriority w:val="99"/>
  </w:style>
  <w:style w:type="paragraph" w:styleId="281">
    <w:name w:val="Footer"/>
    <w:basedOn w:val="1234"/>
    <w:link w:val="2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2">
    <w:name w:val="Footer Char"/>
    <w:basedOn w:val="1235"/>
    <w:link w:val="281"/>
    <w:uiPriority w:val="99"/>
  </w:style>
  <w:style w:type="paragraph" w:styleId="283">
    <w:name w:val="Caption"/>
    <w:basedOn w:val="1234"/>
    <w:next w:val="12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283"/>
    <w:link w:val="281"/>
    <w:uiPriority w:val="99"/>
  </w:style>
  <w:style w:type="table" w:styleId="285">
    <w:name w:val="Table Grid"/>
    <w:basedOn w:val="12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6">
    <w:name w:val="Table Grid Light"/>
    <w:basedOn w:val="12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7">
    <w:name w:val="Plain Table 1"/>
    <w:basedOn w:val="12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8">
    <w:name w:val="Plain Table 2"/>
    <w:basedOn w:val="12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9">
    <w:name w:val="Plain Table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90">
    <w:name w:val="Plain Table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Plain Table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92">
    <w:name w:val="Grid Table 1 Light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Grid Table 1 Light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Grid Table 1 Light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Grid Table 1 Light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Grid Table 1 Light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Grid Table 1 Light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Grid Table 1 Light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Grid Table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0">
    <w:name w:val="Grid Table 2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1">
    <w:name w:val="Grid Table 2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2">
    <w:name w:val="Grid Table 2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3">
    <w:name w:val="Grid Table 2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4">
    <w:name w:val="Grid Table 2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5">
    <w:name w:val="Grid Table 2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6">
    <w:name w:val="Grid Table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7">
    <w:name w:val="Grid Table 3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8">
    <w:name w:val="Grid Table 3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9">
    <w:name w:val="Grid Table 3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0">
    <w:name w:val="Grid Table 3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1">
    <w:name w:val="Grid Table 3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2">
    <w:name w:val="Grid Table 3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3">
    <w:name w:val="Grid Table 4"/>
    <w:basedOn w:val="12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14">
    <w:name w:val="Grid Table 4 - Accent 1"/>
    <w:basedOn w:val="12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15">
    <w:name w:val="Grid Table 4 - Accent 2"/>
    <w:basedOn w:val="12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16">
    <w:name w:val="Grid Table 4 - Accent 3"/>
    <w:basedOn w:val="12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17">
    <w:name w:val="Grid Table 4 - Accent 4"/>
    <w:basedOn w:val="12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18">
    <w:name w:val="Grid Table 4 - Accent 5"/>
    <w:basedOn w:val="12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19">
    <w:name w:val="Grid Table 4 - Accent 6"/>
    <w:basedOn w:val="12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20">
    <w:name w:val="Grid Table 5 Dark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21">
    <w:name w:val="Grid Table 5 Dark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322">
    <w:name w:val="Grid Table 5 Dark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323">
    <w:name w:val="Grid Table 5 Dark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324">
    <w:name w:val="Grid Table 5 Dark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325">
    <w:name w:val="Grid Table 5 Dark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326">
    <w:name w:val="Grid Table 5 Dark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327">
    <w:name w:val="Grid Table 6 Colorful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28">
    <w:name w:val="Grid Table 6 Colorful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29">
    <w:name w:val="Grid Table 6 Colorful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30">
    <w:name w:val="Grid Table 6 Colorful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31">
    <w:name w:val="Grid Table 6 Colorful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32">
    <w:name w:val="Grid Table 6 Colorful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3">
    <w:name w:val="Grid Table 6 Colorful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4">
    <w:name w:val="Grid Table 7 Colorful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35">
    <w:name w:val="Grid Table 7 Colorful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36">
    <w:name w:val="Grid Table 7 Colorful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37">
    <w:name w:val="Grid Table 7 Colorful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38">
    <w:name w:val="Grid Table 7 Colorful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39">
    <w:name w:val="Grid Table 7 Colorful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40">
    <w:name w:val="Grid Table 7 Colorful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41">
    <w:name w:val="List Table 1 Light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2">
    <w:name w:val="List Table 1 Light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3">
    <w:name w:val="List Table 1 Light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4">
    <w:name w:val="List Table 1 Light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5">
    <w:name w:val="List Table 1 Light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6">
    <w:name w:val="List Table 1 Light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7">
    <w:name w:val="List Table 1 Light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8">
    <w:name w:val="List Table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49">
    <w:name w:val="List Table 2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50">
    <w:name w:val="List Table 2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51">
    <w:name w:val="List Table 2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52">
    <w:name w:val="List Table 2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53">
    <w:name w:val="List Table 2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54">
    <w:name w:val="List Table 2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55">
    <w:name w:val="List Table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6">
    <w:name w:val="List Table 3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">
    <w:name w:val="List Table 3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8">
    <w:name w:val="List Table 3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9">
    <w:name w:val="List Table 3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0">
    <w:name w:val="List Table 3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1">
    <w:name w:val="List Table 3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2">
    <w:name w:val="List Table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">
    <w:name w:val="List Table 4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">
    <w:name w:val="List Table 4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5">
    <w:name w:val="List Table 4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6">
    <w:name w:val="List Table 4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7">
    <w:name w:val="List Table 4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8">
    <w:name w:val="List Table 4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9">
    <w:name w:val="List Table 5 Dark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0">
    <w:name w:val="List Table 5 Dark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1">
    <w:name w:val="List Table 5 Dark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2">
    <w:name w:val="List Table 5 Dark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3">
    <w:name w:val="List Table 5 Dark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4">
    <w:name w:val="List Table 5 Dark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5">
    <w:name w:val="List Table 5 Dark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6">
    <w:name w:val="List Table 6 Colorful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77">
    <w:name w:val="List Table 6 Colorful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78">
    <w:name w:val="List Table 6 Colorful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79">
    <w:name w:val="List Table 6 Colorful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80">
    <w:name w:val="List Table 6 Colorful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81">
    <w:name w:val="List Table 6 Colorful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82">
    <w:name w:val="List Table 6 Colorful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83">
    <w:name w:val="List Table 7 Colorful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84">
    <w:name w:val="List Table 7 Colorful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385">
    <w:name w:val="List Table 7 Colorful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386">
    <w:name w:val="List Table 7 Colorful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387">
    <w:name w:val="List Table 7 Colorful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388">
    <w:name w:val="List Table 7 Colorful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389">
    <w:name w:val="List Table 7 Colorful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390">
    <w:name w:val="Lined - Accent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1">
    <w:name w:val="Lined - Accent 1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2">
    <w:name w:val="Lined - Accent 2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93">
    <w:name w:val="Lined - Accent 3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94">
    <w:name w:val="Lined - Accent 4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95">
    <w:name w:val="Lined - Accent 5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396">
    <w:name w:val="Lined - Accent 6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97">
    <w:name w:val="Bordered &amp; Lined - Accent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8">
    <w:name w:val="Bordered &amp; Lined - Accent 1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9">
    <w:name w:val="Bordered &amp; Lined - Accent 2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400">
    <w:name w:val="Bordered &amp; Lined - Accent 3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401">
    <w:name w:val="Bordered &amp; Lined - Accent 4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402">
    <w:name w:val="Bordered &amp; Lined - Accent 5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403">
    <w:name w:val="Bordered &amp; Lined - Accent 6"/>
    <w:basedOn w:val="12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404">
    <w:name w:val="Bordered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05">
    <w:name w:val="Bordered - Accent 1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06">
    <w:name w:val="Bordered - Accent 2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07">
    <w:name w:val="Bordered - Accent 3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08">
    <w:name w:val="Bordered - Accent 4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09">
    <w:name w:val="Bordered - Accent 5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0">
    <w:name w:val="Bordered - Accent 6"/>
    <w:basedOn w:val="12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1234"/>
    <w:link w:val="413"/>
    <w:uiPriority w:val="99"/>
    <w:semiHidden/>
    <w:unhideWhenUsed/>
    <w:pPr>
      <w:spacing w:after="40" w:line="240" w:lineRule="auto"/>
    </w:pPr>
    <w:rPr>
      <w:sz w:val="18"/>
    </w:rPr>
  </w:style>
  <w:style w:type="character" w:styleId="413">
    <w:name w:val="Footnote Text Char"/>
    <w:link w:val="412"/>
    <w:uiPriority w:val="99"/>
    <w:rPr>
      <w:sz w:val="18"/>
    </w:rPr>
  </w:style>
  <w:style w:type="character" w:styleId="414">
    <w:name w:val="footnote reference"/>
    <w:basedOn w:val="1235"/>
    <w:uiPriority w:val="99"/>
    <w:unhideWhenUsed/>
    <w:rPr>
      <w:vertAlign w:val="superscript"/>
    </w:rPr>
  </w:style>
  <w:style w:type="paragraph" w:styleId="415">
    <w:name w:val="endnote text"/>
    <w:basedOn w:val="1234"/>
    <w:link w:val="416"/>
    <w:uiPriority w:val="99"/>
    <w:semiHidden/>
    <w:unhideWhenUsed/>
    <w:pPr>
      <w:spacing w:after="0" w:line="240" w:lineRule="auto"/>
    </w:pPr>
    <w:rPr>
      <w:sz w:val="20"/>
    </w:rPr>
  </w:style>
  <w:style w:type="character" w:styleId="416">
    <w:name w:val="Endnote Text Char"/>
    <w:link w:val="415"/>
    <w:uiPriority w:val="99"/>
    <w:rPr>
      <w:sz w:val="20"/>
    </w:rPr>
  </w:style>
  <w:style w:type="character" w:styleId="417">
    <w:name w:val="endnote reference"/>
    <w:basedOn w:val="1235"/>
    <w:uiPriority w:val="99"/>
    <w:semiHidden/>
    <w:unhideWhenUsed/>
    <w:rPr>
      <w:vertAlign w:val="superscript"/>
    </w:rPr>
  </w:style>
  <w:style w:type="paragraph" w:styleId="418">
    <w:name w:val="toc 1"/>
    <w:basedOn w:val="1234"/>
    <w:next w:val="1234"/>
    <w:uiPriority w:val="39"/>
    <w:unhideWhenUsed/>
    <w:pPr>
      <w:ind w:left="0" w:right="0" w:firstLine="0"/>
      <w:spacing w:after="57"/>
    </w:pPr>
  </w:style>
  <w:style w:type="paragraph" w:styleId="419">
    <w:name w:val="toc 2"/>
    <w:basedOn w:val="1234"/>
    <w:next w:val="1234"/>
    <w:uiPriority w:val="39"/>
    <w:unhideWhenUsed/>
    <w:pPr>
      <w:ind w:left="283" w:right="0" w:firstLine="0"/>
      <w:spacing w:after="57"/>
    </w:pPr>
  </w:style>
  <w:style w:type="paragraph" w:styleId="420">
    <w:name w:val="toc 3"/>
    <w:basedOn w:val="1234"/>
    <w:next w:val="1234"/>
    <w:uiPriority w:val="39"/>
    <w:unhideWhenUsed/>
    <w:pPr>
      <w:ind w:left="567" w:right="0" w:firstLine="0"/>
      <w:spacing w:after="57"/>
    </w:pPr>
  </w:style>
  <w:style w:type="paragraph" w:styleId="421">
    <w:name w:val="toc 4"/>
    <w:basedOn w:val="1234"/>
    <w:next w:val="1234"/>
    <w:uiPriority w:val="39"/>
    <w:unhideWhenUsed/>
    <w:pPr>
      <w:ind w:left="850" w:right="0" w:firstLine="0"/>
      <w:spacing w:after="57"/>
    </w:pPr>
  </w:style>
  <w:style w:type="paragraph" w:styleId="422">
    <w:name w:val="toc 5"/>
    <w:basedOn w:val="1234"/>
    <w:next w:val="1234"/>
    <w:uiPriority w:val="39"/>
    <w:unhideWhenUsed/>
    <w:pPr>
      <w:ind w:left="1134" w:right="0" w:firstLine="0"/>
      <w:spacing w:after="57"/>
    </w:pPr>
  </w:style>
  <w:style w:type="paragraph" w:styleId="423">
    <w:name w:val="toc 6"/>
    <w:basedOn w:val="1234"/>
    <w:next w:val="1234"/>
    <w:uiPriority w:val="39"/>
    <w:unhideWhenUsed/>
    <w:pPr>
      <w:ind w:left="1417" w:right="0" w:firstLine="0"/>
      <w:spacing w:after="57"/>
    </w:pPr>
  </w:style>
  <w:style w:type="paragraph" w:styleId="424">
    <w:name w:val="toc 7"/>
    <w:basedOn w:val="1234"/>
    <w:next w:val="1234"/>
    <w:uiPriority w:val="39"/>
    <w:unhideWhenUsed/>
    <w:pPr>
      <w:ind w:left="1701" w:right="0" w:firstLine="0"/>
      <w:spacing w:after="57"/>
    </w:pPr>
  </w:style>
  <w:style w:type="paragraph" w:styleId="425">
    <w:name w:val="toc 8"/>
    <w:basedOn w:val="1234"/>
    <w:next w:val="1234"/>
    <w:uiPriority w:val="39"/>
    <w:unhideWhenUsed/>
    <w:pPr>
      <w:ind w:left="1984" w:right="0" w:firstLine="0"/>
      <w:spacing w:after="57"/>
    </w:pPr>
  </w:style>
  <w:style w:type="paragraph" w:styleId="426">
    <w:name w:val="toc 9"/>
    <w:basedOn w:val="1234"/>
    <w:next w:val="1234"/>
    <w:uiPriority w:val="39"/>
    <w:unhideWhenUsed/>
    <w:pPr>
      <w:ind w:left="2268" w:right="0" w:firstLine="0"/>
      <w:spacing w:after="57"/>
    </w:pPr>
  </w:style>
  <w:style w:type="paragraph" w:styleId="427">
    <w:name w:val="TOC Heading"/>
    <w:uiPriority w:val="39"/>
    <w:unhideWhenUsed/>
  </w:style>
  <w:style w:type="paragraph" w:styleId="428">
    <w:name w:val="table of figures"/>
    <w:basedOn w:val="1234"/>
    <w:next w:val="1234"/>
    <w:uiPriority w:val="99"/>
    <w:unhideWhenUsed/>
    <w:pPr>
      <w:spacing w:after="0" w:afterAutospacing="0"/>
    </w:pPr>
  </w:style>
  <w:style w:type="paragraph" w:styleId="1234" w:default="1">
    <w:name w:val="Normal"/>
    <w:qFormat/>
  </w:style>
  <w:style w:type="character" w:styleId="1235" w:default="1">
    <w:name w:val="Default Paragraph Font"/>
    <w:uiPriority w:val="1"/>
    <w:semiHidden/>
    <w:unhideWhenUsed/>
  </w:style>
  <w:style w:type="table" w:styleId="12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37" w:default="1">
    <w:name w:val="No List"/>
    <w:uiPriority w:val="99"/>
    <w:semiHidden/>
    <w:unhideWhenUsed/>
  </w:style>
  <w:style w:type="character" w:styleId="1238">
    <w:name w:val="Placeholder Text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DB0EF7-E194-44EE-8D26-7787DD52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8</cp:revision>
  <dcterms:created xsi:type="dcterms:W3CDTF">2024-03-14T07:34:00Z</dcterms:created>
  <dcterms:modified xsi:type="dcterms:W3CDTF">2024-04-10T03:11:10Z</dcterms:modified>
</cp:coreProperties>
</file>