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left"/>
        <w:spacing w:before="0" w:after="0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58"/>
        <w:gridCol w:w="3747"/>
        <w:gridCol w:w="274"/>
        <w:gridCol w:w="3554"/>
        <w:gridCol w:w="275"/>
      </w:tblGrid>
      <w:tr>
        <w:trPr/>
        <w:tc>
          <w:tcPr>
            <w:gridSpan w:val="2"/>
            <w:shd w:val="clear" w:color="ffffff" w:themeColor="background1" w:fill="ffffff" w:themeFill="background1"/>
            <w:tcBorders>
              <w:right w:val="none" w:color="000000" w:sz="4" w:space="0"/>
            </w:tcBorders>
            <w:tcW w:w="116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ffffff" w:themeColor="background1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3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5"/>
            <w:shd w:val="clear" w:color="ffffff" w:themeColor="background1" w:fill="ffffff" w:themeFill="background1"/>
            <w:tcBorders>
              <w:right w:val="none" w:color="000000" w:sz="4" w:space="0"/>
            </w:tcBorders>
            <w:tcW w:w="1570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 А С П О Р 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shd w:val="clear" w:color="ffffff" w:themeColor="background1" w:fill="ffffff" w:themeFill="background1"/>
            <w:tcBorders>
              <w:right w:val="none" w:color="000000" w:sz="4" w:space="0"/>
            </w:tcBorders>
            <w:tcW w:w="1570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государственной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shd w:val="clear" w:color="ffffff" w:themeColor="background1" w:fill="ffffff" w:themeFill="background1"/>
            <w:tcBorders>
              <w:right w:val="none" w:color="000000" w:sz="4" w:space="0"/>
            </w:tcBorders>
            <w:tcW w:w="1570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«Охрана окружающей среды»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themeColor="background1" w:fill="ffffff" w:themeFill="background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85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non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non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5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1. Основные положения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85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gridSpan w:val="4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85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Куратор государственной программы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Лещенко Евгений Михайлович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Ответственный исполнитель государственной программы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Шестернин Евгений Анатольевич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85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gridSpan w:val="4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85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Период реализации государственной программы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Этап I: 2015 - 2023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Этап II: 2024 - 2030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8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Цели государственной программы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Цель 1 "Сохранение биологического разнообразия, в том числе посредством сохранения не менее 87 ООПТ на плановый период до 2030 года и исследование недр местного значения."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8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Цель 2 "Сохранение и восстановление водных объектов для улучшения экологических условий проживания вблизи водных объектов для 0,025 млн. человек до 2030 года."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8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Цель 3 "Обеспечение защищенности к концу 2030 года более 31,043 тыс. человек, проживающих на территориях, подверженных негативному воздействию вод."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Направления (подпрограммы) государственной программы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Направление (подпрограмма) 1 "Создание условий для сохранения биологического разнообразия и исследования недр местного значения"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Направление (подпрограмма) 2 "Создание условий для обеспечения защиты от негативного воздействия вод, сохранения и восстановления водных объектов"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Объемы финансового обеспечения за весь период реализации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2 353 345,60 тыс. рублей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Связь с национальными целями развития Российской Федерации/ государственной программой Российской Федерации / государственной программой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85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85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gridSpan w:val="4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85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</w:tbl>
    <w:p>
      <w:pPr>
        <w:pStyle w:val="617"/>
        <w:jc w:val="left"/>
        <w:spacing w:before="0" w:after="0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3"/>
        <w:gridCol w:w="2591"/>
        <w:gridCol w:w="825"/>
        <w:gridCol w:w="826"/>
        <w:gridCol w:w="825"/>
        <w:gridCol w:w="680"/>
        <w:gridCol w:w="682"/>
        <w:gridCol w:w="680"/>
        <w:gridCol w:w="680"/>
        <w:gridCol w:w="680"/>
        <w:gridCol w:w="681"/>
        <w:gridCol w:w="680"/>
        <w:gridCol w:w="680"/>
        <w:gridCol w:w="680"/>
        <w:gridCol w:w="1368"/>
        <w:gridCol w:w="1368"/>
        <w:gridCol w:w="1369"/>
      </w:tblGrid>
      <w:tr>
        <w:trPr/>
        <w:tc>
          <w:tcPr>
            <w:gridSpan w:val="17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</w:rPr>
              <w:t xml:space="preserve">2. Показатели государственной программы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5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2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gridSpan w:val="7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1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3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п/п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591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Наименование показателя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Уровень показателя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6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Признак возрастания/ убывания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(по ОКЕИ)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Базовое значение</w:t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76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Значение показателя по годам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Документ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Ответственный за достижение показателя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9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Связь с показателями национальных целей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3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591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6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значение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год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2026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2029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2030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9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17</w:t>
            </w:r>
            <w:r/>
          </w:p>
        </w:tc>
      </w:tr>
      <w:tr>
        <w:trPr/>
        <w:tc>
          <w:tcPr>
            <w:gridSpan w:val="17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70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Цель государственной программы «Сохранение биологического разнообразия, в том числе посредством сохранения не менее 87 ООПТ на плановый период до 2030 года и исследование недр местного значения.»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особо охраняемых природных территорий, функционирующих на территории Новосибирской области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Возрастание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Единица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87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87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88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89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Индекс численности охотничьих ресурсов в охотничьих хозяйствах по видам (к уровню 2018 года): лось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Возрастание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Процент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118,7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118,8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118,9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119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119,1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119,2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119,3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119,4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Индекс численности охотничьих ресурсов в охотничьих хозяйствах по видам (к уровню 2018 года): косуля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Возрастание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Процент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112,8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112,9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113,1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113,2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113,3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113,4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113,5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4.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Индекс численности охотничьих ресурсов в охотничьих хозяйствах по видам (к уровню 2018 года): соболь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Возрастание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Процент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102,5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106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109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5.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участков недр местного значения, на которых проведены работы по их изучению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Возрастание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Единица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gridSpan w:val="17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70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Цель государственной программы «Сохранение и восстановление водных объектов для улучшения экологических условий проживания вблизи водных объектов для 0,025 млн. человек до 2030 года.»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населения, улучшившего экологические условия проживания вблизи водных объектов.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Возрастание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Миллион человек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gridSpan w:val="17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70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Цель государственной программы «Обеспечение защищенности к концу 2030 года более 31,043 тыс. человек, проживающих на территориях, подверженных негативному воздействию вод.»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Возрастание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Тысяча человек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23,523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23,578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23,578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25,438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26,482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28,633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29,677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31,043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6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5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2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1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6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</w:tbl>
    <w:p>
      <w:pPr>
        <w:pStyle w:val="617"/>
        <w:jc w:val="left"/>
        <w:spacing w:before="0" w:after="0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"/>
        <w:gridCol w:w="2620"/>
        <w:gridCol w:w="834"/>
        <w:gridCol w:w="834"/>
        <w:gridCol w:w="688"/>
        <w:gridCol w:w="686"/>
        <w:gridCol w:w="689"/>
        <w:gridCol w:w="686"/>
        <w:gridCol w:w="686"/>
        <w:gridCol w:w="688"/>
        <w:gridCol w:w="687"/>
        <w:gridCol w:w="688"/>
        <w:gridCol w:w="686"/>
        <w:gridCol w:w="688"/>
        <w:gridCol w:w="687"/>
        <w:gridCol w:w="686"/>
        <w:gridCol w:w="688"/>
        <w:gridCol w:w="687"/>
        <w:gridCol w:w="1383"/>
      </w:tblGrid>
      <w:tr>
        <w:trPr/>
        <w:tc>
          <w:tcPr>
            <w:gridSpan w:val="19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</w:rPr>
              <w:t xml:space="preserve">2.1. Прокси-показатели государственной программы в 2024 году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4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3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6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п/п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620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Наименование показателя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34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Признак возрастания/ убывания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34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(по ОКЕИ)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7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Базовое значение</w:t>
            </w:r>
            <w:r/>
          </w:p>
        </w:tc>
        <w:tc>
          <w:tcPr>
            <w:gridSpan w:val="1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24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Значение показателя по кварталам/месяцам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83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Ответственный за достижение показателя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6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620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34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34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значение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год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янв.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фев.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март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апр.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май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июнь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июль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авг.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сен.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окт.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ноя.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дек.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83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62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</w:t>
            </w:r>
            <w:r/>
          </w:p>
        </w:tc>
        <w:tc>
          <w:tcPr>
            <w:gridSpan w:val="18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Тысяча человек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1.1.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62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Доля населения, проживающего на защищенной в результате проведения противопаводковых мероприятий территории, в общей численности населения, проживающего на территории Новосибирской области, подверженной негативному воздействию вод 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Возрастание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Процент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15,43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15,48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1.2.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62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Доля протяженности участков русел рек, на которых осуществлены работы по оптимизации их пропускной способности, к общей протяженности участков русел рек, нуждающихся в увеличении пропускной способности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Возрастание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Процент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18,8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19,03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1.3.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62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подтопляемых объектов (жилищного фонда (жилых домов), социальной-культурной сферы) на территории Новосибирской области, выведенных из зоны подтопления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Возрастание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Единица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6 442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6 442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34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7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3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</w:tbl>
    <w:p>
      <w:pPr>
        <w:pStyle w:val="617"/>
        <w:jc w:val="left"/>
        <w:spacing w:before="0" w:after="0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9"/>
        <w:gridCol w:w="2819"/>
        <w:gridCol w:w="1782"/>
        <w:gridCol w:w="1779"/>
        <w:gridCol w:w="740"/>
        <w:gridCol w:w="740"/>
        <w:gridCol w:w="740"/>
        <w:gridCol w:w="740"/>
        <w:gridCol w:w="740"/>
        <w:gridCol w:w="739"/>
        <w:gridCol w:w="740"/>
        <w:gridCol w:w="740"/>
        <w:gridCol w:w="740"/>
        <w:gridCol w:w="740"/>
        <w:gridCol w:w="740"/>
        <w:gridCol w:w="736"/>
      </w:tblGrid>
      <w:tr>
        <w:trPr/>
        <w:tc>
          <w:tcPr>
            <w:gridSpan w:val="16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</w:rPr>
              <w:t xml:space="preserve">3. Помесячный план достижения показателей государственной программы в 2024 году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1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7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49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п/п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819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Цели/показатели государственной программы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82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Уровень показателя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79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(по ОКЕИ)</w:t>
            </w:r>
            <w:r/>
          </w:p>
        </w:tc>
        <w:tc>
          <w:tcPr>
            <w:gridSpan w:val="11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13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Плановые значения по месяцам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6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На конец 2024 года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49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819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82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79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янв.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фев.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март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апр.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май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июнь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июль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авг.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сен.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окт.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ноя.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6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81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8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16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</w:t>
            </w:r>
            <w:r/>
          </w:p>
        </w:tc>
        <w:tc>
          <w:tcPr>
            <w:gridSpan w:val="15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25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Цель государственной программы «Сохранение биологического разнообразия, в том числе посредством сохранения не менее 87 ООПТ на плановый период до 2030 года и исследование недр местного значения.»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1.1.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81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особо охраняемых природных территорий, функционирующих на территории Новосибирской области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8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Единица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87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1.2.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81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Индекс численности охотничьих ресурсов в охотничьих хозяйствах по видам (к уровню 2018 года): лось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8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Процент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118,8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1.3.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81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Индекс численности охотничьих ресурсов в охотничьих хозяйствах по видам (к уровню 2018 года): косуля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8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Процент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112,9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1.4.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81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Индекс численности охотничьих ресурсов в охотничьих хозяйствах по видам (к уровню 2018 года): соболь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8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Процент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103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1.5.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81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участков недр местного значения, на которых проведены работы по их изучению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8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Единица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25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2.</w:t>
            </w:r>
            <w:r/>
          </w:p>
        </w:tc>
        <w:tc>
          <w:tcPr>
            <w:gridSpan w:val="15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25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Цель государственной программы «Сохранение и восстановление водных объектов для улучшения экологических условий проживания вблизи водных объектов для 0,025 млн. человек до 2030 года.»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2.1.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81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населения, улучшившего экологические условия проживания вблизи водных объектов.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8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Миллион человек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0,025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3.</w:t>
            </w:r>
            <w:r/>
          </w:p>
        </w:tc>
        <w:tc>
          <w:tcPr>
            <w:gridSpan w:val="15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25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Цель государственной программы «Обеспечение защищенности к концу 2030 года более 31,043 тыс. человек, проживающих на территориях, подверженных негативному воздействию вод.»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3.1.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81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8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77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Тысяча человек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23,578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1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7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</w:tbl>
    <w:p>
      <w:pPr>
        <w:pStyle w:val="617"/>
        <w:jc w:val="left"/>
        <w:spacing w:before="0" w:after="0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7"/>
        <w:gridCol w:w="4952"/>
        <w:gridCol w:w="2997"/>
        <w:gridCol w:w="2998"/>
        <w:gridCol w:w="4114"/>
      </w:tblGrid>
      <w:tr>
        <w:trPr/>
        <w:tc>
          <w:tcPr>
            <w:gridSpan w:val="5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</w:rPr>
              <w:t xml:space="preserve">4. Структура государственной программы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9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9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4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п/п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Задачи структурного элемента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Краткое описание ожидаемых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эффектов от реализации задачи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структурного элемента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Связь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 показателями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4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06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Направление (подпрограмма) "Создание условий для сохранения биологического разнообразия и исследования недр местного значения"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1.1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06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Комплекс процессных мероприятий "Сохранение природных систем, создание условий для рационального использования биологических ресурсов"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9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Ответственный за реализацию: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11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Срок реализации: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2024 - 2030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1.1.1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Выполнение химико-аналитических исследований состояния компонентов окружающей среды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Выполнены исследования состояния компонентов окружающей среды на территории Новосибирской области, которые являются основанием для принятия административных мер к нарушителям природоохранного законодательства, расчета размеров нанесенного ущерба.       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Индекс численности охотничьих ресурсов в охотничьих хозяйствах по видам (к уровню 2018 года): лось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Индекс численности охотничьих ресурсов в охотничьих хозяйствах по видам (к уровню 2018 года): косуля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Индекс численности охотничьих ресурсов в охотничьих хозяйствах по видам (к уровню 2018 года): соболь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1.1.2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Организация и обеспечение охраны памятников природы регионального значения и их обустройство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Развита сеть ООПТ в Новосибирской области, сохранены природные комплексы и биоразнообразие на территории Новосибирской области.     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особо охраняемых природных территорий, функционирующих на территории Новосибирской области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1.1.3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Организация и проведение мероприятий по экологическому просвещению и пропаганде бережного отношения к окружающей природной среде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Обеспечены конституционные права граждан на достоверную информацию о состоянии окружающей среды, информационная основа для принятия управленческих решений, проведена профилактика правонарушений в области охраны окружающей среды и природопользования.       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особо охраняемых природных территорий, функционирующих на территории Новосибирской области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1.1.4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Охрана, организация и функционирование особо охраняемой природной территории регионального значения Новосибирской области - памятника природы областного значения «Дендрологический парк»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Сохранена целостность уникального ландшафтного комплекса особо охраняемой природной территории регионального значения Новосибирской области - памятника природы областного значения «Дендрологический парк».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особо охраняемых природных территорий, функционирующих на территории Новосибирской области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1.2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06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Комплекс процессных мероприятий "Сохранение и воспроизводство объектов животного мира"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9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Ответственный за реализацию: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11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Срок реализации: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2024 - 2030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1.2.1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Охрана, развитие государственных природных заказников регионального значения Новосибирской области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Поддержано функционирование государственных природных заказников регионального значения Новосибирской области, улучшено их материально-техническое обеспечение.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особо охраняемых природных территорий, функционирующих на территории Новосибирской области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1.2.2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Разработка схемы размещения, использования и охраны охотничьих угодий на территории Новосибирской области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Сохранены охотничьи ресурсы, обеспечено рациональное использование и сохранение охотничьих ресурсов и осуществление видов деятельности в сфере охотничьего хозяйства на территории Новосибирской области.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Индекс численности охотничьих ресурсов в охотничьих хозяйствах по видам (к уровню 2018 года): лось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Индекс численности охотничьих ресурсов в охотничьих хозяйствах по видам (к уровню 2018 года): косуля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Индекс численности охотничьих ресурсов в охотничьих хозяйствах по видам (к уровню 2018 года): соболь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1.3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06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Комплекс процессных мероприятий "Геологическое изучение участков недр местного значения"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9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Ответственный за реализацию: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11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Срок реализации: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2024 - 2030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1.3.1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Выполнение поисково-оценочных работ в пределах участков недр местного значения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Повышена изученность участков недр местного значения, увеличено количество земел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ьных участков, на территории которых осуществлялась добыча общераспространенных полезных ископаемых, необходимых для целей выполнения работ по строительству, реконструкции и капитальному ремонту, ремонту и содержанию автомобильных дорог общего пользования.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участков недр местного значения, на которых проведены работы по их изучению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1.3.2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Выполнение маркшейдерских работ в недрах земли и на соответствующих участках ее поверхности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Проведены пространственно-геометрические измерения (исследования) в недрах земли и на соответствующих участ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ках ее поверхности при осуществлении надзора и расчета объема учтенных и неучтенных запасов полезных ископаемых при оценке размера вреда, вызванного в том числе загрязнением недр, затоплением, обводнением, пожарами, а также самовольным пользованием недрами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участков недр местного значения, на которых проведены работы по их изучению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06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Направление (подпрограмма) "Создание условий для обеспечения защиты от негативного воздействия вод, сохранения и восстановления водных объектов"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2.1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06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Региональный проект "Сохранение и восстановление водных объектов Новосибирской области"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Лещенко Евгений Михайлович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9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Ответственный за реализацию: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11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Срок реализации: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2019 - 2024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2.1.1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Улучшение экологического состояния гидрографической сети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Выполнены работы по расчистке озера Половинное в селе Половинное Краснозерского района Новосибирской области с учетом дополнений внесенных в проектную (сметную) документацию, разработанную в 2017 году, в части формирования рельефа местности.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Количество населения, улучшившего экологические условия проживания вблизи водных объектов.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2.2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06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Ведомственный проект "Защита от негативного воздействия вод"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Лещенко Евгений Михайлович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94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Ответственный за реализацию: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МИНИСТЕРСТВО ПРИРОДНЫХ РЕСУРСОВ И ЭКОЛОГИИ НОВОСИБИРСКОЙ ОБЛАСТИ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711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Срок реализации: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</w:r>
          </w:p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2024 - 2030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2.2.1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Осуществление отдельных полномочий в области водных отношений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Выполнены работы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территории Новосибирской области.       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2.2.2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Защита территорий населенных пунктов Новосибирской области от подтопления и затопления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Сокращено к концу 2030 года количество подтопляемых объектов жилищного фонда и социально-культурной сферы на территории Новосибирской области.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2.2.3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Поддержание безопасного технического состояния гидротехнических сооружений Новосибирской области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Утверждены в соответствии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 с действующим законодательством декларации безопасности гидротехнических сооружений для гидротехнических сооружений, находящихся в муниципальной собственности, проведен текущий ремонт гидротехнических сооружений, находящихся в муниципальной собственности.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2.2.4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Строительство берегоукрепительных сооружений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Разработаны (скорректированы) проектно-сметные документации, необходимые для строительства берегоукрепительных сооружений.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2.2.5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Проведение мониторинга подземных вод и опасных экзогенных геологических процессов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99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Обеспечено рациональное и безопасное использование подземных вод Новосибирской области на основе наблюдений, ведения банка данных, поддержки опорной государственной территориальной сети наблюдательных гидрогеологических скважин.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1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9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9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4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</w:tbl>
    <w:p>
      <w:pPr>
        <w:pStyle w:val="617"/>
        <w:jc w:val="left"/>
        <w:spacing w:before="0" w:after="0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1"/>
        <w:gridCol w:w="1291"/>
        <w:gridCol w:w="1291"/>
        <w:gridCol w:w="1292"/>
        <w:gridCol w:w="1289"/>
        <w:gridCol w:w="1291"/>
        <w:gridCol w:w="1292"/>
        <w:gridCol w:w="1289"/>
        <w:gridCol w:w="1290"/>
      </w:tblGrid>
      <w:tr>
        <w:trPr/>
        <w:tc>
          <w:tcPr>
            <w:gridSpan w:val="9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</w:rPr>
              <w:t xml:space="preserve">5. Финансовое обеспечение государственной программы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2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8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2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8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Наименование государственной программы, структурного элемента/источник финансового обеспечения</w:t>
            </w:r>
            <w:r/>
          </w:p>
        </w:tc>
        <w:tc>
          <w:tcPr>
            <w:gridSpan w:val="8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3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Объем финансового обеспечения по годам реализации, тыс. рублей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2026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2029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2030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Всего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Государственная программа "Охрана окружающей среды" (всего),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406 584,80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361 091,30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317 133,90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317 133,90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317 133,90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317 133,90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317 133,90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2 353 345,60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Бюджет субъекта Российской Федерации (всего), из них: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401 713,10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356 891,90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313 792,10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313 792,10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313 792,10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313 792,10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313 792,10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2 327 565,50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 том числе межбюджетные трансферты из федерального бюджета (справочно)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16 017,20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16 017,20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15 287,80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15 287,80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15 287,80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15 287,80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15 287,80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108 473,40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 том числе межбюджетные трансферты из иных бюджетов бюджетной системы Российской Федерации (справочно)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межбюджетные трансферты местным бюджетам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266 360,20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241 016,40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195 846,10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195 846,10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195 846,10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195 846,10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195 846,10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1 486 607,10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271 231,90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245 215,80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199 187,90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199 187,90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199 187,90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199 187,90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199 187,90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1 512 387,20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Внебюджетные источники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Нераспределенный резерв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Объемы налоговых расходов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6 300,00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6 400,00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6 500,00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6 500,00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6 500,00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6 500,00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6 500,00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45 200,00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Комплекс процессных мероприятий "Сохранение природных систем, создание условий для рационального использования биологических ресурсов" (всего),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12 151,40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12 685,30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13 092,00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13 092,00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13 092,00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13 092,00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13 092,00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90 296,70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Бюджет субъекта Российской Федерации (всего), из них: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12 151,40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12 685,30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13 092,00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13 092,00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13 092,00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13 092,00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13 092,00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90 296,70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 том числе межбюджетные трансферты из федерального бюджета (справочно)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 том числе межбюджетные трансферты из иных бюджетов бюджетной системы Российской Федерации (справочно)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межбюджетные трансферты местным бюджетам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Внебюджетные источники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Нераспределенный резерв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Комплекс процессных мероприятий "Сохранение и воспроизводство объектов животного мира" (всего),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82 364,30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75 493,00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77 886,20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77 886,20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77 886,20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77 886,20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77 886,20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547 288,30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Бюджет субъекта Российской Федерации (всего), из них: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82 364,30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75 493,00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77 886,20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77 886,20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77 886,20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77 886,20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77 886,20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547 288,30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 том числе межбюджетные трансферты из федерального бюджета (справочно)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 том числе межбюджетные трансферты из иных бюджетов бюджетной системы Российской Федерации (справочно)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межбюджетные трансферты местным бюджетам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Внебюджетные источники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Нераспределенный резерв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Комплекс процессных мероприятий "Геологическое изучение участков недр местного значения" (всего),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67 760,00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Бюджет субъекта Российской Федерации (всего), из них: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9 680,00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67 760,00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 том числе межбюджетные трансферты из федерального бюджета (справочно)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 том числе межбюджетные трансферты из иных бюджетов бюджетной системы Российской Федерации (справочно)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межбюджетные трансферты местным бюджетам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Внебюджетные источники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Нераспределенный резерв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Региональный проект "Сохранение и восстановление водных объектов Новосибирской области" (всего),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2 640,00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2 640,00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Бюджет субъекта Российской Федерации (всего), из них: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2 640,00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2 640,00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 том числе межбюджетные трансферты из федерального бюджета (справочно)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 том числе межбюджетные трансферты из иных бюджетов бюджетной системы Российской Федерации (справочно)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межбюджетные трансферты местным бюджетам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Внебюджетные источники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Нераспределенный резерв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Ведомственный проект "Защита от негативного воздействия вод" (всего),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299 749,10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263 233,00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216 475,70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216 475,70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216 475,70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216 475,70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216 475,70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1 645 360,60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Бюджет субъекта Российской Федерации (всего), из них: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294 877,40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259 033,60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213 133,90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213 133,90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213 133,90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213 133,90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213 133,90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1 619 580,50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 том числе межбюджетные трансферты из федерального бюджета (справочно)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16 017,20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16 017,20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15 287,80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15 287,80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15 287,80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15 287,80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15 287,80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108 473,40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 том числе межбюджетные трансферты из иных бюджетов бюджетной системы Российской Федерации (справочно)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межбюджетные трансферты местным бюджетам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266 360,20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241 016,40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195 846,10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195 846,10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195 846,10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195 846,10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195 846,10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1 486 607,10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Консолидированные бюджеты муниципальных образований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271 231,90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245 215,80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199 187,90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199 187,90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199 187,90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199 187,90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199 187,90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1 512 387,20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Внебюджетные источники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Нераспределенный резерв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1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2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8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2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8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</w:tbl>
    <w:p>
      <w:pPr>
        <w:pStyle w:val="617"/>
        <w:jc w:val="left"/>
        <w:spacing w:before="0" w:after="0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1"/>
        <w:gridCol w:w="1291"/>
        <w:gridCol w:w="1291"/>
        <w:gridCol w:w="1292"/>
        <w:gridCol w:w="1289"/>
        <w:gridCol w:w="1291"/>
        <w:gridCol w:w="1292"/>
        <w:gridCol w:w="1289"/>
        <w:gridCol w:w="1290"/>
      </w:tblGrid>
      <w:tr>
        <w:trPr/>
        <w:tc>
          <w:tcPr>
            <w:gridSpan w:val="9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</w:rPr>
              <w:t xml:space="preserve">5.1. Финансовое обеспечение государственной программы за счет бюджетных ассигнований по источникам финансирования дефицита бюджета субъекта Российской Федерации/ местного бюджета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gridSpan w:val="7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35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Наименование структурного элемента</w:t>
            </w:r>
            <w:r/>
          </w:p>
        </w:tc>
        <w:tc>
          <w:tcPr>
            <w:gridSpan w:val="8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032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Объем финансового обеспечения по годам реализации, тыс. рублей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2026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2029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2030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Всего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9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Государственная программа за счет бюджетных ассигнований по источникам финансирования дефицита бюджета субъекта Российской Федерации, всего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Ведомственный проект "Защита от негативного воздействия вод"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Комплекс процессных мероприятий "Геологическое изучение участков недр местного значения"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Комплекс процессных мероприятий "Сохранение и воспроизводство объектов животного мира"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Комплекс процессных мероприятий "Сохранение природных систем, создание условий для рационального использования биологических ресурсов"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8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Региональный проект "Сохранение и восстановление водных объектов Новосибирской области"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1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2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8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2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89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90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</w:tbl>
    <w:p>
      <w:pPr>
        <w:pStyle w:val="617"/>
        <w:jc w:val="left"/>
        <w:spacing w:before="0" w:after="0"/>
      </w:pPr>
      <w:r/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88"/>
        <w:gridCol w:w="2306"/>
        <w:gridCol w:w="2308"/>
        <w:gridCol w:w="2305"/>
      </w:tblGrid>
      <w:tr>
        <w:trPr/>
        <w:tc>
          <w:tcPr>
            <w:gridSpan w:val="4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707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</w:rPr>
              <w:t xml:space="preserve">6. Показатели государственной программы в разрезе муниципальных образований субъекта Российской Федерации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7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0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0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05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788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Наименование муниципального образования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614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Базовое значение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30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Значения показателей по годам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788" w:type="dxa"/>
            <w:vAlign w:val="top"/>
            <w:vMerge w:val="continue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306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значение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30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год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305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878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30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30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30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 w:val="off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</w:rPr>
              <w:t xml:space="preserve">4</w:t>
            </w:r>
            <w:r/>
          </w:p>
        </w:tc>
      </w:tr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788" w:type="dxa"/>
            <w:vAlign w:val="top"/>
            <w:textDirection w:val="lrTb"/>
            <w:noWrap w:val="false"/>
          </w:tcPr>
          <w:p>
            <w:pPr>
              <w:pStyle w:val="617"/>
              <w:ind w:left="55" w:right="55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06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08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05" w:type="dxa"/>
            <w:vAlign w:val="bottom"/>
            <w:textDirection w:val="lrTb"/>
            <w:noWrap w:val="false"/>
          </w:tcPr>
          <w:p>
            <w:pPr>
              <w:pStyle w:val="617"/>
              <w:ind w:left="55" w:right="55" w:firstLine="0"/>
              <w:jc w:val="left"/>
              <w:spacing w:before="0" w:after="0"/>
              <w:widowControl w:val="off"/>
            </w:pPr>
            <w:r/>
            <w:r/>
          </w:p>
        </w:tc>
      </w:tr>
    </w:tbl>
    <w:sectPr>
      <w:footnotePr>
        <w:numFmt w:val="decimal"/>
        <w:numRestart w:val="continuous"/>
      </w:footnotePr>
      <w:endnotePr>
        <w:numFmt w:val="lowerRoman"/>
      </w:endnotePr>
      <w:type w:val="nextPage"/>
      <w:pgSz w:w="16838" w:h="11906" w:orient="landscape"/>
      <w:pgMar w:top="1133" w:right="566" w:bottom="1133" w:left="566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ejaVu Sans">
    <w:panose1 w:val="020B0603030804020204"/>
  </w:font>
  <w:font w:name="Noto Sans Devanagar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table" w:styleId="6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7" w:default="1">
    <w:name w:val="Normal"/>
    <w:next w:val="617"/>
    <w:pPr>
      <w:widowControl w:val="off"/>
    </w:pPr>
    <w:rPr>
      <w:rFonts w:ascii="Calibri" w:hAnsi="Calibri" w:eastAsia="DejaVu Sans" w:cs="Noto Sans Devanagari"/>
      <w:color w:val="auto"/>
      <w:sz w:val="22"/>
      <w:szCs w:val="24"/>
      <w:lang w:val="ru-RU" w:eastAsia="zh-CN" w:bidi="hi-IN"/>
    </w:rPr>
  </w:style>
  <w:style w:type="paragraph" w:styleId="618">
    <w:name w:val="Заголовок"/>
    <w:basedOn w:val="617"/>
    <w:next w:val="619"/>
    <w:link w:val="617"/>
    <w:pPr>
      <w:keepNext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619">
    <w:name w:val="Основной текст"/>
    <w:basedOn w:val="617"/>
    <w:next w:val="619"/>
    <w:link w:val="617"/>
    <w:pPr>
      <w:spacing w:before="0" w:after="140" w:line="276" w:lineRule="auto"/>
    </w:pPr>
  </w:style>
  <w:style w:type="paragraph" w:styleId="620">
    <w:name w:val="Список"/>
    <w:basedOn w:val="619"/>
    <w:next w:val="620"/>
    <w:link w:val="617"/>
    <w:rPr>
      <w:rFonts w:ascii="PT Astra Serif" w:hAnsi="PT Astra Serif" w:cs="Noto Sans Devanagari"/>
    </w:rPr>
  </w:style>
  <w:style w:type="paragraph" w:styleId="621">
    <w:name w:val="Название"/>
    <w:basedOn w:val="617"/>
    <w:next w:val="621"/>
    <w:link w:val="617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22">
    <w:name w:val="Указатель"/>
    <w:basedOn w:val="617"/>
    <w:next w:val="622"/>
    <w:link w:val="617"/>
    <w:pPr>
      <w:suppressLineNumbers/>
    </w:pPr>
    <w:rPr>
      <w:rFonts w:ascii="PT Astra Serif" w:hAnsi="PT Astra Serif" w:cs="Noto Sans Devanagari"/>
    </w:rPr>
  </w:style>
  <w:style w:type="paragraph" w:styleId="623">
    <w:name w:val="Версия сервера генератора печатных документов: 14.45 Версия клиента генератора печ"/>
    <w:next w:val="623"/>
    <w:link w:val="617"/>
    <w:pPr>
      <w:widowControl w:val="off"/>
      <w:pBdr>
        <w:between w:val="none" w:color="000000" w:sz="0" w:space="0"/>
      </w:pBdr>
      <w:framePr w:dropCap="none" w:lines="0" w:vSpace="0" w:hSpace="0"/>
    </w:pPr>
  </w:style>
  <w:style w:type="character" w:styleId="14769" w:default="1">
    <w:name w:val="Default Paragraph Font"/>
    <w:uiPriority w:val="1"/>
    <w:semiHidden/>
    <w:unhideWhenUsed/>
  </w:style>
  <w:style w:type="numbering" w:styleId="1477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1</cp:revision>
  <dcterms:created xsi:type="dcterms:W3CDTF">2024-04-07T23:48:00Z</dcterms:created>
  <dcterms:modified xsi:type="dcterms:W3CDTF">2024-04-08T02:57:37Z</dcterms:modified>
</cp:coreProperties>
</file>