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40" cy="6574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0375605" name=""/>
                        <pic:cNvPicPr/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rcRect l="-138" t="-138" r="-138" b="-138"/>
                        <a:stretch/>
                      </pic:blipFill>
                      <pic:spPr bwMode="auto">
                        <a:xfrm rot="0" flipH="0" flipV="0">
                          <a:off x="0" y="0"/>
                          <a:ext cx="551839" cy="657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5pt;height:51.77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ПРИРОДНЫХ РЕСУРСОВ И ЭКОЛОГИИ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годовому отчету о ходе реализации государственной программы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«Охрана окружающей среды»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 xml:space="preserve">2024</w:t>
      </w:r>
      <w:r>
        <w:rPr>
          <w:color w:val="000000" w:themeColor="text1"/>
          <w:sz w:val="28"/>
          <w:szCs w:val="28"/>
        </w:rPr>
        <w:t xml:space="preserve"> года (далее – Отчет)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720"/>
        <w:jc w:val="both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 xml:space="preserve">Общая характеристика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Государственная программа Новосибирской области «Охрана окружающей сред</w:t>
      </w:r>
      <w:r>
        <w:rPr>
          <w:sz w:val="28"/>
          <w:szCs w:val="28"/>
        </w:rPr>
        <w:t xml:space="preserve">ы» утверждена постановлением Правительства Новосибирской области от 28.01.2015 № 28-п (далее – Программа).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внесены Постановлениями Правительства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15.10.2015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377-п, от 30.12.2015 № 477-п, </w:t>
        <w:br/>
        <w:t xml:space="preserve">от 27.09.2016 № 297-п,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27.12.2016 № 439-п, от 28.03.2017 № 114-п, </w:t>
        <w:br/>
        <w:t xml:space="preserve">от 26.04.2017 № 156-п,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11.07.2017 № 250-п, от 14.11.2017 № 412-п, </w:t>
        <w:br/>
        <w:t xml:space="preserve">от 22.01.2018 № 2-п,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07.08.2018 № 332-п, от 04.12.2018 № 501-п, от 11.12.2018 № 510-п,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02.04.2019 № 132-п, от 23.10.2019 № 407-п, от 07.07.2020 № 265-п,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22.12.2020 № 540-п, от 02.02.2021 № 17-п, от 29.03.2021 № 95-п,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17.06.2021 № 226-п, от 05.10.2021 № 399-п, от 10.03.2022 № 70-п,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25.10.2022 № 492-п, </w:t>
        <w:br/>
        <w:t xml:space="preserve">от 21.03.2023 № 104-п, от 17.10.2023 № 473-п,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29.03.2024 № 147-п, </w:t>
        <w:br/>
        <w:t xml:space="preserve">от 22.07.2024 № 328-п, от 26.02.2025 № 83-п.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1"/>
        <w:ind w:left="567" w:right="0" w:firstLine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 Сведения о выполнении показателей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В 20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24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 году в рамках реализации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рограммы достигнуто 13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 показателей, а именно: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«Количество особо охраняемых природных территорий, функционирующих на территории Новосибирской области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Количество населения, улучшившего экологические условия проживания вблизи водных объектов»;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Охват населения Новосибирской области эколого-просветительскими акциями и мероприятиями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Количество обустроенных ООПТ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Площадь проведения санитано-оздоровительных мероприятий на территории ООПТ «Дендрологический парк»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Количество расчищенных водных объектов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Количество особо охраняемых природных территорий регионального значения, в отношении которых проведены работы по установлению границ охранных зон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Количество разработанных документов в сфере использования и охраны охотничьих угодий на территории Новосибирской области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Количество документации, подготовленной в результате проведения поисково-оценочных работ в пределах участков недр местного значения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Количество населения, улучшившего экологические условия проживания вблизи водных объектов, нарастающим итогом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Протяженность расчищенных участков русел рек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- 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В результате реализации мероприятий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рограммы перевыполнен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о</w:t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показателей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, а именно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Индекс чис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ленности охотничьих ресурсов в охотничьих хозяйствах по видам (к уровню 2018 года): лось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фактическое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составил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130,05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при плане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118,8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связи с благоприятными погодными условиями, которые позволили обеспечить животных наличием стабильных и доступных кормов в естественных природных условиях, что привело к росту рождаемости животных и увеличению их численности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Индекс численности охотничьих ресурсов в охотничьих хозяйствах по видам (к уровню 2018 года): косуля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фактическое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составило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117,6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% при плане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112,9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в связи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 благоприятными погодными условиями, которые позволили обеспечить животных наличием стабильных и доступных кормов в естественных природных условиях, что привело к росту рождаемости животных и увеличению их численности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- 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Количество участков недр местного значения, на которых проведены работы по их изучению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фактическое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составило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41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при плане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связи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 уменьшением фактической стоимости  выполнения маркшейдерских работ в недрах земли и на соответствующих участках ее поверхности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Количество лабораторно-аналитических исследований (элементоопределений) на содержание загрязняющих веществ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фактическое значение показателя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составило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1 103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при плане 1000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связи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фактически выполненными работами в соответствии с поступившими заявками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- 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Количество документации, подготовленной в результате проведения маркшейдерских работ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фактическое значение показателя составило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41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при плане 15 ед.)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ш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Протяженность участков выполненных работ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территориях субъектов Российской Феде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фактическое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ставило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1,59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%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при пл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ане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1,51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связи с уточнением протяженности береговых линий, 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ыявленных в ходе выполнения работ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Выполнены работы по мероприятию «Расчистка и спрямление русла р. Карасук в районе с. Красная Сибирь, с. Кочки, с. Решеты, с Черновка Кочковского района Новосибирской области», предусмотренные на 2024 год государственным контрактом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По резуль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татам реализации Программы в 20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24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 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ду достигнуто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 не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в полной мере 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 показателя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, а именно: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- 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Индекс численности охотничьих ресурсов в охотничьих хозяйствах по видам (к уровню 2018 года): соболь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фактическое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 плане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бусловлено тем, 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 высота снежного покрова местами по Новосибирской области была значительно выше средней, что затрудняло миграцию животных и доступ к естественным кормам, что привело к снижению численности охотничьих ресурсов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Количество проведенных охранных рейдов особо охраняемых природных территорий регионального значения и иных природных территорий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фактическое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состави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3 900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 плане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6 980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), так как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фактическое значение меньше планового обусловлено утверждением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нормативов финансовых затрат (ст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оимости) государственных услуг (работ) в сфере охраны окружающей среды Новосибирской области, оказываемых (выполняемых) за счет средств областного бюджета Новосибирской области в 2025 году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- 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Количество гидротехнических сооружений, находящихся в муниципальной собственности, по которым утверждены декларации безопасности, проведен текущий ремонт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фактическое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24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 плане 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так как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выполнены работы по декларированию безопасности гидротехнических сооружений, находящихся в муниципальной собственности Болотнинского и Новосибирского районов Новосибирской области, в связи с несвоевременным исполнением подрядчиком сроков контрак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2024 году утверждены 11 пакетов документов по декларированию безопасности гидротехнических сооружений (для 4 ГТС в Мошковского района, 1 ГТС Тогучинского района, 5 ГТС Черепановского района, 1 ГТС в городе Новосибирск). Выполнен текущий ремонт 13 гидроте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нических сооружений, находящихся в муниципальной собственности Венгеровского района (1 ГТС), Колыванского района (2 ГТС), Коченевского района (4 ГТС), Кыштовского района (1ГТС), Ордынского района (1 ГТС), Северного района (1ГСТ) и Черепановского района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 ГТС)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 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Количество разра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ботанных (скорректированных) проектно-сметных документаций, необходимых для строительства берегоукрепительных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фактическое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 плане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так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ак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аботы по разр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аботке проектной и рабочей документации на строительство берегоукрепительных сооружений Ордынского района Новосибирской области, предусмотренные муниципальным контрактом </w:t>
        <w:br/>
        <w:t xml:space="preserve">от 23.08.2024 № 0851200000624005475 выполнены не в полном объеме.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2024 году получено положительное заключение на выполнение инженерных изысканий и разработку проектной документации по объекту: «Строительство водозащитных дамб на реке Бердь в р.п  Маслянино Маслянинского района Новосибирской области».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71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Раздел 3.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Сведения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 исполнении бюджетных ассигнований областного бюджета Новосибирской области и иных средств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 В рамках 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еализации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комплекса процессных мероприятий № 1 «Сохранение природных систем, создание условий для рационального использования биологических ресурсов»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2024 году выполнены следующие работы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  <w14:ligatures w14:val="none"/>
        </w:rPr>
      </w:pPr>
      <w:r>
        <w:rPr>
          <w:color w:val="000000"/>
          <w:sz w:val="28"/>
          <w:szCs w:val="28"/>
          <w:highlight w:val="white"/>
        </w:rPr>
        <w:t xml:space="preserve">- 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ыполнено 1103 элементоопределения </w:t>
      </w:r>
      <w:r>
        <w:rPr>
          <w:color w:val="000000"/>
          <w:sz w:val="28"/>
          <w:szCs w:val="28"/>
          <w:highlight w:val="white"/>
        </w:rPr>
        <w:t xml:space="preserve">химико-аналитического исследования состояния </w:t>
      </w:r>
      <w:r>
        <w:rPr>
          <w:color w:val="000000"/>
          <w:sz w:val="28"/>
          <w:szCs w:val="28"/>
          <w:highlight w:val="white"/>
        </w:rPr>
        <w:t xml:space="preserve">компонентов окружающей среды;</w:t>
      </w:r>
      <w:r>
        <w:rPr>
          <w:color w:val="000000"/>
          <w:sz w:val="28"/>
          <w:szCs w:val="28"/>
          <w:highlight w:val="white"/>
          <w14:ligatures w14:val="none"/>
        </w:rPr>
      </w:r>
      <w:r>
        <w:rPr>
          <w:color w:val="000000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  <w14:ligatures w14:val="none"/>
        </w:rPr>
      </w:pPr>
      <w:r>
        <w:rPr>
          <w:strike w:val="0"/>
          <w:color w:val="000000"/>
          <w:sz w:val="28"/>
          <w:szCs w:val="28"/>
          <w:highlight w:val="white"/>
        </w:rPr>
        <w:t xml:space="preserve">- </w:t>
      </w:r>
      <w:r>
        <w:rPr>
          <w:rFonts w:ascii="Times New Roman" w:hAnsi="Times New Roman"/>
          <w:color w:val="000000"/>
          <w:sz w:val="28"/>
          <w:highlight w:val="white"/>
        </w:rPr>
        <w:t xml:space="preserve">выпущен и опубликован </w:t>
      </w:r>
      <w:r>
        <w:rPr>
          <w:rFonts w:ascii="Times New Roman" w:hAnsi="Times New Roman"/>
          <w:color w:val="000000"/>
          <w:sz w:val="28"/>
          <w:highlight w:val="white"/>
        </w:rPr>
        <w:t xml:space="preserve">государственный доклад «О состоянии и об охране окружающей среды Новосибирской области в 202</w:t>
      </w:r>
      <w:r>
        <w:rPr>
          <w:rFonts w:ascii="Times New Roman" w:hAnsi="Times New Roman"/>
          <w:color w:val="000000"/>
          <w:sz w:val="28"/>
          <w:highlight w:val="white"/>
        </w:rPr>
        <w:t xml:space="preserve">3 году» </w:t>
      </w:r>
      <w:r>
        <w:rPr>
          <w:rFonts w:ascii="Times New Roman" w:hAnsi="Times New Roman" w:eastAsia="Times New Roman"/>
          <w:sz w:val="28"/>
          <w:highlight w:val="white"/>
        </w:rPr>
        <w:t xml:space="preserve">в количестве 100 экземпляров</w:t>
      </w:r>
      <w:r>
        <w:rPr>
          <w:rFonts w:ascii="Times New Roman" w:hAnsi="Times New Roman"/>
          <w:color w:val="000000"/>
          <w:sz w:val="28"/>
          <w:highlight w:val="none"/>
        </w:rPr>
        <w:t xml:space="preserve">;</w:t>
      </w:r>
      <w:r>
        <w:rPr>
          <w:color w:val="000000"/>
          <w:sz w:val="28"/>
          <w:szCs w:val="28"/>
          <w:highlight w:val="white"/>
          <w14:ligatures w14:val="none"/>
        </w:rPr>
      </w:r>
      <w:r>
        <w:rPr>
          <w:color w:val="000000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  <w14:ligatures w14:val="none"/>
        </w:rPr>
      </w:pPr>
      <w:r>
        <w:rPr>
          <w:color w:val="000000"/>
          <w:sz w:val="28"/>
          <w:szCs w:val="28"/>
          <w:highlight w:val="white"/>
        </w:rPr>
        <w:t xml:space="preserve">- </w:t>
      </w:r>
      <w:r>
        <w:rPr>
          <w:color w:val="000000"/>
          <w:sz w:val="28"/>
          <w:szCs w:val="28"/>
          <w:highlight w:val="white"/>
        </w:rPr>
        <w:t xml:space="preserve">проложены </w:t>
      </w:r>
      <w:r>
        <w:rPr>
          <w:sz w:val="28"/>
          <w:szCs w:val="28"/>
          <w:highlight w:val="white"/>
        </w:rPr>
        <w:t xml:space="preserve">противопожарные минерализова</w:t>
      </w:r>
      <w:r>
        <w:rPr>
          <w:sz w:val="28"/>
          <w:szCs w:val="28"/>
          <w:highlight w:val="white"/>
        </w:rPr>
        <w:t xml:space="preserve">нные полосы по границам 20 памятников природы Новосибирской области, общей протяжённостью 124,5 км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  <w14:ligatures w14:val="none"/>
        </w:rPr>
      </w:r>
      <w:r>
        <w:rPr>
          <w:color w:val="000000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  <w14:ligatures w14:val="none"/>
        </w:rPr>
      </w:pPr>
      <w:r>
        <w:rPr>
          <w:color w:val="000000"/>
          <w:sz w:val="28"/>
          <w:szCs w:val="28"/>
          <w:highlight w:val="white"/>
        </w:rPr>
        <w:t xml:space="preserve">- </w:t>
      </w:r>
      <w:r>
        <w:rPr>
          <w:color w:val="000000"/>
          <w:sz w:val="28"/>
          <w:szCs w:val="28"/>
          <w:highlight w:val="white"/>
        </w:rPr>
        <w:t xml:space="preserve">проведены</w:t>
      </w:r>
      <w:r>
        <w:rPr>
          <w:color w:val="000000"/>
          <w:sz w:val="28"/>
          <w:szCs w:val="28"/>
          <w:highlight w:val="white"/>
        </w:rPr>
        <w:t xml:space="preserve"> санитарно-озд</w:t>
      </w:r>
      <w:r>
        <w:rPr>
          <w:color w:val="000000"/>
          <w:sz w:val="28"/>
          <w:szCs w:val="28"/>
          <w:highlight w:val="white"/>
        </w:rPr>
        <w:t xml:space="preserve">оровительные мероприятия на площади 166,6 га, противоклещевая обработка, благоустройство клумбовой зоны партерной части, вывоз ТБО, уборка снега с пешеходной зоны в зимний период, ремонт и отсыпка дорожно-тропиночной сети, окрашивание беседок, уличных скам</w:t>
      </w:r>
      <w:r>
        <w:rPr>
          <w:color w:val="000000"/>
          <w:sz w:val="28"/>
          <w:szCs w:val="28"/>
          <w:highlight w:val="white"/>
        </w:rPr>
        <w:t xml:space="preserve">еек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  <w14:ligatures w14:val="none"/>
        </w:rPr>
      </w:r>
      <w:r>
        <w:rPr>
          <w:color w:val="000000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white"/>
        </w:rPr>
        <w:t xml:space="preserve">- </w:t>
      </w:r>
      <w:r>
        <w:rPr>
          <w:color w:val="000000"/>
          <w:sz w:val="28"/>
          <w:szCs w:val="28"/>
          <w:highlight w:val="white"/>
        </w:rPr>
        <w:t xml:space="preserve"> п</w:t>
      </w:r>
      <w:r>
        <w:rPr>
          <w:color w:val="000000"/>
          <w:sz w:val="28"/>
          <w:szCs w:val="28"/>
          <w:highlight w:val="white"/>
        </w:rPr>
        <w:t xml:space="preserve">одготовлены обосновывающие материалы для создания охранных зон памятников природы регионального значения в Новосибирской области особо охраняемой природной территории регионального значения – памятника природы областного значения «Дендрологический парк» и</w:t>
      </w:r>
      <w:r>
        <w:rPr>
          <w:color w:val="000000"/>
          <w:sz w:val="28"/>
          <w:szCs w:val="28"/>
          <w:highlight w:val="white"/>
        </w:rPr>
        <w:t xml:space="preserve"> памятника природы регионального значения «Бердская лесная дача» Новосибирской области</w:t>
      </w:r>
      <w:r>
        <w:rPr>
          <w:color w:val="000000"/>
          <w:sz w:val="28"/>
          <w:szCs w:val="28"/>
          <w:highlight w:val="none"/>
          <w14:ligatures w14:val="none"/>
        </w:rPr>
        <w:t xml:space="preserve">.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color w:val="000000"/>
          <w:sz w:val="28"/>
          <w:szCs w:val="28"/>
          <w:highlight w:val="white"/>
          <w14:ligatures w14:val="none"/>
        </w:rPr>
      </w:pPr>
      <w:r>
        <w:rPr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Кассовый расход на реализацию мероприятий проекта составил 12 155,38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 средств областного бюджета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 100% от планового значения</w:t>
      </w:r>
      <w:r>
        <w:rPr>
          <w:color w:val="000000"/>
          <w:sz w:val="28"/>
          <w:szCs w:val="28"/>
          <w:highlight w:val="none"/>
          <w14:ligatures w14:val="none"/>
        </w:rPr>
        <w:t xml:space="preserve">.</w:t>
      </w:r>
      <w:r>
        <w:rPr>
          <w:color w:val="000000"/>
          <w:sz w:val="28"/>
          <w:szCs w:val="28"/>
          <w:highlight w:val="white"/>
          <w14:ligatures w14:val="none"/>
        </w:rPr>
      </w:r>
      <w:r>
        <w:rPr>
          <w:color w:val="000000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рамках реализации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комплекса процессных мероприятий № 2 «Сохранение и воспроизводство объектов животного мира»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2024 году выполнены следующие работы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81"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- 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целях повышения эффективности и оперативности выявления нарушений обязательных требований в области охраны животного мира, снижения вреда, причиненного объектам животного мира в результате противоправных действий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2024 году приобретена специализированная техника: 20 снегоболотоходов и 20 автомобильных прицепов, 6 моторных катеров и 6 автомобильных прицепов, 11 квадрокоптеров.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Проведено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3900 рейдов по соблюдению режима заказников, в результате выявлено 52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нарушения на территории заказников.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Увеличены объемы биотехнических мероприятий. В результате проведенных биотехн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ических мероприятий: засеяно 178 кормовых полей общей площадью 550,8 га; расчищено снега к кормовым площадкам протяженностью 670 км; изготовлено и установлено 671 стационарных кормушек; устроено 1 797 солонцов; выложено 5 815 кг соли; выложено 18 300 шт.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еников; выложено 3 940 центнеров сена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 в рамках </w:t>
      </w:r>
      <w:r>
        <w:rPr>
          <w:sz w:val="28"/>
          <w:szCs w:val="28"/>
          <w:highlight w:val="white"/>
          <w:lang w:eastAsia="ar-SA"/>
        </w:rPr>
        <w:t xml:space="preserve">получения новых знаний и обобщения имеющихся знаний о существующем положении отрасли охотничьего хозяйства Новосибирской области, а также достижения эффективного планирования мероп</w:t>
      </w:r>
      <w:r>
        <w:rPr>
          <w:sz w:val="28"/>
          <w:szCs w:val="28"/>
          <w:highlight w:val="white"/>
          <w:lang w:eastAsia="ar-SA"/>
        </w:rPr>
        <w:t xml:space="preserve">риятий в области охоты и сохранения охотничьих ресурсов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разработана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схема размещения, использования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 охраны охотничьих угодий на территории Новосибирской области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magenta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Кассовый расход на реализацию мероприятий проекта составил 80 409,19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 средств областного бюджета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 100% от план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magenta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:highlight w:val="magenta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рамках реализации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комплекса процессных мероприятий № 3 «Геологическое изучение участков недр местного значения»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2024 году выполнены следующие работы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ыполнены работы по геологическому изучению 10 участков недр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местного значения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- </w:t>
      </w:r>
      <w:r>
        <w:rPr>
          <w:rFonts w:ascii="Times New Roman" w:hAnsi="Times New Roman"/>
          <w:color w:val="000000"/>
          <w:sz w:val="28"/>
          <w:highlight w:val="white"/>
        </w:rPr>
        <w:t xml:space="preserve">выполнены маркшейдерские работы в недрах земли и на соответствующих участках ее поверхности, включая лаб</w:t>
      </w:r>
      <w:r>
        <w:rPr>
          <w:rFonts w:ascii="Times New Roman" w:hAnsi="Times New Roman"/>
          <w:color w:val="000000"/>
          <w:sz w:val="28"/>
          <w:highlight w:val="white"/>
        </w:rPr>
        <w:t xml:space="preserve">ораторные исследования состояния полезных ископаемых</w:t>
      </w:r>
      <w:r>
        <w:rPr>
          <w:rFonts w:ascii="Times New Roman" w:hAnsi="Times New Roman"/>
          <w:sz w:val="28"/>
          <w:szCs w:val="28"/>
          <w:highlight w:val="white"/>
        </w:rPr>
        <w:t xml:space="preserve"> на 10 объектах, отобрано 50 проб (образцов) полезных ископаемых, проведено 50 лабораторных испытаний проб (образцов) полезных ископаемых.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результатам выполнения работ подготовлен 41 документ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ассовый расход на реализацию мероприятий проекта составил 9 135,00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тыс. руб.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 средств областного бюджета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или 100% от план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рамках реализации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егионального проекта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 G8-50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white"/>
        </w:rPr>
        <w:t xml:space="preserve">Сохранение и восстановление водных объектов Новосибирской области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завершены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начатые в 2023 году работы по выравниванию грунта с ландшафтным благоустройством береговой линии озера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Половинное в селе Половинное Краснозерского района Новосибирской области.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Кассовый расход составил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2 545,06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тыс. руб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(средства областного бюд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жета)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96,40% планового значения (план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2 640,00 тыс. руб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Снижение фактических расходов </w:t>
      </w:r>
      <w:r>
        <w:rPr>
          <w:sz w:val="28"/>
          <w:szCs w:val="28"/>
          <w:highlight w:val="white"/>
        </w:rPr>
        <w:t xml:space="preserve">обусловлено 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тически выполненными работами.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 В процессе реализации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№ 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ащита от негативного воздействия вод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2024 году выполнены следующие работы: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рамках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мероприятия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предотвращению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егативного воздействия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 и ликвидации его последствий в отношении водных объектов, находящихся в федеральной собственности и расположенных на территории Новосибирской области,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роведены мероприятия по обеспечению безаварийного пропуска паводковых вод и ледохода в период весеннего половодья и предотвращение затопления и подтопления жилой застройки и инженерной инфраструктуры на реке Карасук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районе с. Красная Сибирь, с. Кочки, с. Решеты, с Черновка Кочковского района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протяженностью 1,59 км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 в рамках мероприятия по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окращению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количества подтопляемых объектов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жилищного фонда и социально-культурной сферы на территории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1) продолжены начатые в 2022 году работы по мероприятию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«Защита от подтопления и затопления рабочего поселка Колывань Колыванского района Новосибирской области»; 2) выполнялись работы по мероприятию «Строительство сети водоотводных каналов для защиты территории р. п. Сузун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 подтопления и затопления. Участок № 1»; 3) начато выполнение работ по мероприятию «Защита от подтопления улиц г. Черепаново Черепановского рай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она Новосибирской области».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Работы по мероприятию защита от подтопления территории г. Бердска перенесены на 2025 год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связи с поздним заключением муниципального контракта от 11.11.2024 №1-ЭА/24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выполнение рабо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 по строительству объекта: «Инженерная защита от подтопления района города Бердска в границах улиц: Боровая, Спартака, Первомайская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Рогачева»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администрацией города Бердска 6 раз объявлялись электронные аукционы (апрель, июнь, август, октябрь),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которые были признаны несостоявшимися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рамках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мероприятия по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оддержанию безопасного технического состояния гидротехнических сооружений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981"/>
        <w:ind w:firstLine="709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утверждены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 пакетов документов по декларированию безо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пасности гидротехнических сооружений (для 4 ГТС Мошковского района, 1 ГТС Тогучинского района, 5 ГТС Черепановского района, 1 ГТС в городе Новосибирск)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1"/>
        <w:ind w:firstLine="709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выполнен текущий ремонт 13 гидротехнических сооружений, находящихся в муниципальной собственности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енгеровского района (1 ГТС), Колыванского района (2 ГТС) , Коченевского района (4 ГТС), Кыштовского района (1ГТС), Ордынского района (1 ГТС), Северного района (1ГСТ) и Черепановского района (3 ГТС)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1"/>
        <w:ind w:firstLine="709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ыполнены работы по разработке проектной документации по объекту «Капитальный ремонт дамб, отчленяющих Юдинский плёс от озера Чаны,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аходящихся в собственности Новосибирской области»;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81"/>
        <w:ind w:firstLine="709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ероприятия по разработке пакета документов на реконструкцию гидротехнического сооружения, находящегося в собственности Ордынского района выполнены  не в полном объеме. Работы продолжатся в 2025 году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1"/>
        <w:ind w:firstLine="709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выполнены работы по декларированию безопасности гидротехнических сооружений, находящихся в муниципальной собственности Болотнинского и Новосибирского районов Новосибирской облас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ти, в связи с несвоевременным исполнением подрядчиком сроков контрак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та, выполнение работ продолжится в 2025 году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1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 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рамках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мероприятия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строительству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берегоукрепительных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сооружений Новосибирской области: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1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олучено положительное заключение на выполнение инженерных изысканий и разработку проектной документации по объекту: «Строительство водозащитных дамб на реке Бердь в р.п  Маслянино Маслянинского района Новосибирской области».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1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Работы по разработке проек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тной и рабочей документации на строительство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берегоукрепительных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сооружений Ордынского района Новосибирской области, предусмотренные муниципальным контрактом от 23.08.2024 № 851200000624005475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выполнены не в полном объеме. Выполнение работ продолжится в 2025 году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1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 в рамках мероприятия по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роведению мониторинга подземных вод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пасных экзогенных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еологических процессов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беспечена работа 65 наблюдательных гидрогеологических скважин опорной государственной территориальной сети.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ассов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ый расход на выполнение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ведомственного проекта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ащита от негативного воздействия вод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составил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234 610,73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тыс. руб. или 84,05 % планового значения (план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279 133,72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тыс. руб.)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, в том числе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редства областного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юджет субъекта составили 231 891,10 тыс. руб., что составляет 84,39 %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планового значения (план - 274 789,24 тыс. руб.)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 местного бюджета составили 2719,63 тыс. руб., 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 составляет 62,6 %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планового значения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(план – 4 344,48 тыс. руб.)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Общий объем финансирования в 2024 году на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реализацию П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338 855,36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тыс</w:t>
      </w:r>
      <w:r>
        <w:rPr>
          <w:rFonts w:ascii="Times New Roman" w:hAnsi="Times New Roman" w:cs="Times New Roman"/>
          <w:sz w:val="28"/>
          <w:szCs w:val="28"/>
        </w:rPr>
        <w:t xml:space="preserve">. руб.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88,36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планового значения (план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383 473,29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руб.)</w:t>
      </w:r>
      <w:r>
        <w:rPr>
          <w:rFonts w:ascii="Times New Roman" w:hAnsi="Times New Roman" w:cs="Times New Roman"/>
          <w:sz w:val="28"/>
          <w:szCs w:val="28"/>
        </w:rPr>
        <w:t xml:space="preserve">, в том числе: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1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редства областного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юджет субъекта составили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336 135,73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руб., что составило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88,66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 от планового значения (план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379 128,81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руб.),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 местного бюджета составили 2719,63 тыс. руб., 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 составляет 62,6 %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планового значения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(план – 4 344,48 тыс. руб.)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Фактическое значение меньше планового обусловлено: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экономией средств в результате проведения конкурсных процедур;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невыполнением работ по инженерной защите от подтопления и затопления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района города Бердска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сумму </w:t>
      </w:r>
      <w:r>
        <w:rPr>
          <w:color w:val="000000"/>
          <w:sz w:val="28"/>
          <w:szCs w:val="28"/>
          <w:highlight w:val="white"/>
        </w:rPr>
        <w:t xml:space="preserve">34 200,00 тыс. руб.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связи с тем, 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администрацией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Бердска 7 раз объявлялись электронные аукционы,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которые были признаны несостоявшимися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Выполнение работ перенесено на 2025 год.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Е.А. Шестернин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f2f2f2" w:themeColor="background1" w:themeShade="F2"/>
          <w:sz w:val="20"/>
          <w:szCs w:val="20"/>
        </w:rPr>
      </w:pPr>
      <w:r>
        <w:rPr>
          <w:color w:val="f2f2f2" w:themeColor="background1" w:themeShade="F2"/>
        </w:rPr>
        <w:t xml:space="preserve">[МЕСТО ДЛЯ ПОДПИСИ]</w:t>
      </w:r>
      <w:r>
        <w:rPr>
          <w:color w:val="f2f2f2" w:themeColor="background1" w:themeShade="F2"/>
          <w:sz w:val="20"/>
          <w:szCs w:val="20"/>
        </w:rPr>
      </w:r>
      <w:r>
        <w:rPr>
          <w:color w:val="f2f2f2" w:themeColor="background1" w:themeShade="F2"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Л.Р. Микушина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269-51-78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54506160"/>
      <w:docPartObj>
        <w:docPartGallery w:val="Page Numbers (Top of Page)"/>
        <w:docPartUnique w:val="true"/>
      </w:docPartObj>
      <w:rPr/>
    </w:sdtPr>
    <w:sdtContent>
      <w:p>
        <w:pPr>
          <w:pStyle w:val="9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20939669"/>
      <w:docPartObj>
        <w:docPartGallery w:val="Page Numbers (Top of Page)"/>
        <w:docPartUnique w:val="true"/>
      </w:docPartObj>
      <w:rPr/>
    </w:sdtPr>
    <w:sdtContent>
      <w:p>
        <w:pPr>
          <w:pStyle w:val="9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28"/>
  </w:num>
  <w:num w:numId="5">
    <w:abstractNumId w:val="25"/>
  </w:num>
  <w:num w:numId="6">
    <w:abstractNumId w:val="29"/>
  </w:num>
  <w:num w:numId="7">
    <w:abstractNumId w:val="18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4"/>
  </w:num>
  <w:num w:numId="13">
    <w:abstractNumId w:val="3"/>
  </w:num>
  <w:num w:numId="14">
    <w:abstractNumId w:val="15"/>
  </w:num>
  <w:num w:numId="15">
    <w:abstractNumId w:val="6"/>
  </w:num>
  <w:num w:numId="16">
    <w:abstractNumId w:val="0"/>
  </w:num>
  <w:num w:numId="17">
    <w:abstractNumId w:val="22"/>
  </w:num>
  <w:num w:numId="18">
    <w:abstractNumId w:val="7"/>
  </w:num>
  <w:num w:numId="19">
    <w:abstractNumId w:val="8"/>
  </w:num>
  <w:num w:numId="20">
    <w:abstractNumId w:val="16"/>
  </w:num>
  <w:num w:numId="21">
    <w:abstractNumId w:val="24"/>
  </w:num>
  <w:num w:numId="22">
    <w:abstractNumId w:val="23"/>
  </w:num>
  <w:num w:numId="23">
    <w:abstractNumId w:val="5"/>
  </w:num>
  <w:num w:numId="24">
    <w:abstractNumId w:val="10"/>
  </w:num>
  <w:num w:numId="25">
    <w:abstractNumId w:val="27"/>
  </w:num>
  <w:num w:numId="26">
    <w:abstractNumId w:val="17"/>
  </w:num>
  <w:num w:numId="27">
    <w:abstractNumId w:val="19"/>
  </w:num>
  <w:num w:numId="28">
    <w:abstractNumId w:val="21"/>
  </w:num>
  <w:num w:numId="29">
    <w:abstractNumId w:val="26"/>
  </w:num>
  <w:num w:numId="30">
    <w:abstractNumId w:val="2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0">
    <w:name w:val="Heading 1 Char"/>
    <w:basedOn w:val="802"/>
    <w:link w:val="793"/>
    <w:uiPriority w:val="9"/>
    <w:rPr>
      <w:rFonts w:ascii="Arial" w:hAnsi="Arial" w:eastAsia="Arial" w:cs="Arial"/>
      <w:sz w:val="40"/>
      <w:szCs w:val="40"/>
    </w:rPr>
  </w:style>
  <w:style w:type="character" w:styleId="781">
    <w:name w:val="Heading 2 Char"/>
    <w:basedOn w:val="802"/>
    <w:link w:val="794"/>
    <w:uiPriority w:val="9"/>
    <w:rPr>
      <w:rFonts w:ascii="Arial" w:hAnsi="Arial" w:eastAsia="Arial" w:cs="Arial"/>
      <w:sz w:val="34"/>
    </w:rPr>
  </w:style>
  <w:style w:type="character" w:styleId="782">
    <w:name w:val="Heading 6 Char"/>
    <w:basedOn w:val="80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783">
    <w:name w:val="Heading 7 Char"/>
    <w:basedOn w:val="802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8 Char"/>
    <w:basedOn w:val="802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785">
    <w:name w:val="Heading 9 Char"/>
    <w:basedOn w:val="802"/>
    <w:link w:val="801"/>
    <w:uiPriority w:val="9"/>
    <w:rPr>
      <w:rFonts w:ascii="Arial" w:hAnsi="Arial" w:eastAsia="Arial" w:cs="Arial"/>
      <w:i/>
      <w:iCs/>
      <w:sz w:val="21"/>
      <w:szCs w:val="21"/>
    </w:rPr>
  </w:style>
  <w:style w:type="character" w:styleId="786">
    <w:name w:val="Title Char"/>
    <w:basedOn w:val="802"/>
    <w:link w:val="814"/>
    <w:uiPriority w:val="10"/>
    <w:rPr>
      <w:sz w:val="48"/>
      <w:szCs w:val="48"/>
    </w:rPr>
  </w:style>
  <w:style w:type="character" w:styleId="787">
    <w:name w:val="Subtitle Char"/>
    <w:basedOn w:val="802"/>
    <w:link w:val="816"/>
    <w:uiPriority w:val="11"/>
    <w:rPr>
      <w:sz w:val="24"/>
      <w:szCs w:val="24"/>
    </w:rPr>
  </w:style>
  <w:style w:type="character" w:styleId="788">
    <w:name w:val="Quote Char"/>
    <w:link w:val="818"/>
    <w:uiPriority w:val="29"/>
    <w:rPr>
      <w:i/>
    </w:rPr>
  </w:style>
  <w:style w:type="character" w:styleId="789">
    <w:name w:val="Intense Quote Char"/>
    <w:link w:val="820"/>
    <w:uiPriority w:val="30"/>
    <w:rPr>
      <w:i/>
    </w:rPr>
  </w:style>
  <w:style w:type="character" w:styleId="790">
    <w:name w:val="Footnote Text Char"/>
    <w:link w:val="953"/>
    <w:uiPriority w:val="99"/>
    <w:rPr>
      <w:sz w:val="18"/>
    </w:rPr>
  </w:style>
  <w:style w:type="character" w:styleId="791">
    <w:name w:val="Endnote Text Char"/>
    <w:link w:val="956"/>
    <w:uiPriority w:val="99"/>
    <w:rPr>
      <w:sz w:val="20"/>
    </w:rPr>
  </w:style>
  <w:style w:type="paragraph" w:styleId="79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3">
    <w:name w:val="Heading 1"/>
    <w:basedOn w:val="792"/>
    <w:next w:val="792"/>
    <w:link w:val="8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next w:val="792"/>
    <w:link w:val="8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next w:val="792"/>
    <w:link w:val="985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96">
    <w:name w:val="Heading 4"/>
    <w:basedOn w:val="792"/>
    <w:next w:val="792"/>
    <w:link w:val="984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97">
    <w:name w:val="Heading 5"/>
    <w:basedOn w:val="792"/>
    <w:next w:val="792"/>
    <w:link w:val="970"/>
    <w:uiPriority w:val="99"/>
    <w:qFormat/>
    <w:pPr>
      <w:ind w:left="-720" w:firstLine="720"/>
      <w:jc w:val="right"/>
      <w:keepNext/>
      <w:outlineLvl w:val="4"/>
    </w:pPr>
    <w:rPr>
      <w:rFonts w:eastAsia="Calibri"/>
      <w:sz w:val="28"/>
    </w:rPr>
  </w:style>
  <w:style w:type="paragraph" w:styleId="798">
    <w:name w:val="Heading 6"/>
    <w:basedOn w:val="792"/>
    <w:next w:val="792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next w:val="792"/>
    <w:link w:val="8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next w:val="792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next w:val="792"/>
    <w:link w:val="8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default="1">
    <w:name w:val="Default Paragraph Font"/>
    <w:uiPriority w:val="1"/>
    <w:semiHidden/>
    <w:unhideWhenUsed/>
  </w:style>
  <w:style w:type="table" w:styleId="8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4" w:default="1">
    <w:name w:val="No List"/>
    <w:uiPriority w:val="99"/>
    <w:semiHidden/>
    <w:unhideWhenUsed/>
  </w:style>
  <w:style w:type="character" w:styleId="805" w:customStyle="1">
    <w:name w:val="Заголовок 1 Знак"/>
    <w:basedOn w:val="802"/>
    <w:link w:val="793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Заголовок 2 Знак"/>
    <w:basedOn w:val="802"/>
    <w:link w:val="794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802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80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Заголовок 7 Знак"/>
    <w:basedOn w:val="802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802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802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Title"/>
    <w:basedOn w:val="792"/>
    <w:next w:val="792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5" w:customStyle="1">
    <w:name w:val="Заголовок Знак"/>
    <w:basedOn w:val="802"/>
    <w:link w:val="814"/>
    <w:uiPriority w:val="10"/>
    <w:rPr>
      <w:sz w:val="48"/>
      <w:szCs w:val="48"/>
    </w:rPr>
  </w:style>
  <w:style w:type="paragraph" w:styleId="816">
    <w:name w:val="Subtitle"/>
    <w:basedOn w:val="792"/>
    <w:next w:val="792"/>
    <w:link w:val="817"/>
    <w:uiPriority w:val="11"/>
    <w:qFormat/>
    <w:pPr>
      <w:spacing w:before="200" w:after="200"/>
    </w:pPr>
  </w:style>
  <w:style w:type="character" w:styleId="817" w:customStyle="1">
    <w:name w:val="Подзаголовок Знак"/>
    <w:basedOn w:val="802"/>
    <w:link w:val="816"/>
    <w:uiPriority w:val="11"/>
    <w:rPr>
      <w:sz w:val="24"/>
      <w:szCs w:val="24"/>
    </w:rPr>
  </w:style>
  <w:style w:type="paragraph" w:styleId="818">
    <w:name w:val="Quote"/>
    <w:basedOn w:val="792"/>
    <w:next w:val="792"/>
    <w:link w:val="819"/>
    <w:uiPriority w:val="29"/>
    <w:qFormat/>
    <w:pPr>
      <w:ind w:left="720" w:right="720"/>
    </w:pPr>
    <w:rPr>
      <w:i/>
    </w:rPr>
  </w:style>
  <w:style w:type="character" w:styleId="819" w:customStyle="1">
    <w:name w:val="Цитата 2 Знак"/>
    <w:link w:val="818"/>
    <w:uiPriority w:val="29"/>
    <w:rPr>
      <w:i/>
    </w:rPr>
  </w:style>
  <w:style w:type="paragraph" w:styleId="820">
    <w:name w:val="Intense Quote"/>
    <w:basedOn w:val="792"/>
    <w:next w:val="792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 w:customStyle="1">
    <w:name w:val="Выделенная цитата Знак"/>
    <w:link w:val="820"/>
    <w:uiPriority w:val="30"/>
    <w:rPr>
      <w:i/>
    </w:rPr>
  </w:style>
  <w:style w:type="character" w:styleId="822" w:customStyle="1">
    <w:name w:val="Header Char"/>
    <w:basedOn w:val="802"/>
    <w:uiPriority w:val="99"/>
  </w:style>
  <w:style w:type="character" w:styleId="823" w:customStyle="1">
    <w:name w:val="Footer Char"/>
    <w:basedOn w:val="802"/>
    <w:uiPriority w:val="99"/>
  </w:style>
  <w:style w:type="paragraph" w:styleId="824">
    <w:name w:val="Caption"/>
    <w:basedOn w:val="792"/>
    <w:next w:val="792"/>
    <w:link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5" w:customStyle="1">
    <w:name w:val="Caption Char"/>
    <w:uiPriority w:val="99"/>
  </w:style>
  <w:style w:type="table" w:styleId="826">
    <w:name w:val="Table Grid"/>
    <w:basedOn w:val="8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7" w:customStyle="1">
    <w:name w:val="Table Grid Light"/>
    <w:basedOn w:val="8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8">
    <w:name w:val="Plain Table 1"/>
    <w:basedOn w:val="8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basedOn w:val="8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>
    <w:name w:val="Grid Table 5 Dark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>
    <w:name w:val="Grid Table 6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>
    <w:name w:val="Grid Table 7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>
    <w:name w:val="List Table 6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>
    <w:name w:val="List Table 7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 w:themeColor="hyperlink"/>
      <w:u w:val="single"/>
    </w:rPr>
  </w:style>
  <w:style w:type="paragraph" w:styleId="953">
    <w:name w:val="footnote text"/>
    <w:basedOn w:val="792"/>
    <w:link w:val="954"/>
    <w:uiPriority w:val="99"/>
    <w:semiHidden/>
    <w:unhideWhenUsed/>
    <w:pPr>
      <w:spacing w:after="40"/>
    </w:pPr>
    <w:rPr>
      <w:sz w:val="18"/>
    </w:rPr>
  </w:style>
  <w:style w:type="character" w:styleId="954" w:customStyle="1">
    <w:name w:val="Текст сноски Знак"/>
    <w:link w:val="953"/>
    <w:uiPriority w:val="99"/>
    <w:rPr>
      <w:sz w:val="18"/>
    </w:rPr>
  </w:style>
  <w:style w:type="character" w:styleId="955">
    <w:name w:val="footnote reference"/>
    <w:basedOn w:val="802"/>
    <w:uiPriority w:val="99"/>
    <w:unhideWhenUsed/>
    <w:rPr>
      <w:vertAlign w:val="superscript"/>
    </w:rPr>
  </w:style>
  <w:style w:type="paragraph" w:styleId="956">
    <w:name w:val="endnote text"/>
    <w:basedOn w:val="792"/>
    <w:link w:val="957"/>
    <w:uiPriority w:val="99"/>
    <w:semiHidden/>
    <w:unhideWhenUsed/>
    <w:rPr>
      <w:sz w:val="20"/>
    </w:rPr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basedOn w:val="802"/>
    <w:uiPriority w:val="99"/>
    <w:semiHidden/>
    <w:unhideWhenUsed/>
    <w:rPr>
      <w:vertAlign w:val="superscript"/>
    </w:rPr>
  </w:style>
  <w:style w:type="paragraph" w:styleId="959">
    <w:name w:val="toc 1"/>
    <w:basedOn w:val="792"/>
    <w:next w:val="792"/>
    <w:uiPriority w:val="39"/>
    <w:unhideWhenUsed/>
    <w:pPr>
      <w:spacing w:after="57"/>
    </w:pPr>
  </w:style>
  <w:style w:type="paragraph" w:styleId="960">
    <w:name w:val="toc 2"/>
    <w:basedOn w:val="792"/>
    <w:next w:val="792"/>
    <w:uiPriority w:val="39"/>
    <w:unhideWhenUsed/>
    <w:pPr>
      <w:ind w:left="283"/>
      <w:spacing w:after="57"/>
    </w:pPr>
  </w:style>
  <w:style w:type="paragraph" w:styleId="961">
    <w:name w:val="toc 3"/>
    <w:basedOn w:val="792"/>
    <w:next w:val="792"/>
    <w:uiPriority w:val="39"/>
    <w:unhideWhenUsed/>
    <w:pPr>
      <w:ind w:left="567"/>
      <w:spacing w:after="57"/>
    </w:pPr>
  </w:style>
  <w:style w:type="paragraph" w:styleId="962">
    <w:name w:val="toc 4"/>
    <w:basedOn w:val="792"/>
    <w:next w:val="792"/>
    <w:uiPriority w:val="39"/>
    <w:unhideWhenUsed/>
    <w:pPr>
      <w:ind w:left="850"/>
      <w:spacing w:after="57"/>
    </w:pPr>
  </w:style>
  <w:style w:type="paragraph" w:styleId="963">
    <w:name w:val="toc 5"/>
    <w:basedOn w:val="792"/>
    <w:next w:val="792"/>
    <w:uiPriority w:val="39"/>
    <w:unhideWhenUsed/>
    <w:pPr>
      <w:ind w:left="1134"/>
      <w:spacing w:after="57"/>
    </w:pPr>
  </w:style>
  <w:style w:type="paragraph" w:styleId="964">
    <w:name w:val="toc 6"/>
    <w:basedOn w:val="792"/>
    <w:next w:val="792"/>
    <w:uiPriority w:val="39"/>
    <w:unhideWhenUsed/>
    <w:pPr>
      <w:ind w:left="1417"/>
      <w:spacing w:after="57"/>
    </w:pPr>
  </w:style>
  <w:style w:type="paragraph" w:styleId="965">
    <w:name w:val="toc 7"/>
    <w:basedOn w:val="792"/>
    <w:next w:val="792"/>
    <w:uiPriority w:val="39"/>
    <w:unhideWhenUsed/>
    <w:pPr>
      <w:ind w:left="1701"/>
      <w:spacing w:after="57"/>
    </w:pPr>
  </w:style>
  <w:style w:type="paragraph" w:styleId="966">
    <w:name w:val="toc 8"/>
    <w:basedOn w:val="792"/>
    <w:next w:val="792"/>
    <w:uiPriority w:val="39"/>
    <w:unhideWhenUsed/>
    <w:pPr>
      <w:ind w:left="1984"/>
      <w:spacing w:after="57"/>
    </w:pPr>
  </w:style>
  <w:style w:type="paragraph" w:styleId="967">
    <w:name w:val="toc 9"/>
    <w:basedOn w:val="792"/>
    <w:next w:val="792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92"/>
    <w:next w:val="792"/>
    <w:uiPriority w:val="99"/>
    <w:unhideWhenUsed/>
  </w:style>
  <w:style w:type="character" w:styleId="970" w:customStyle="1">
    <w:name w:val="Заголовок 5 Знак"/>
    <w:basedOn w:val="802"/>
    <w:link w:val="797"/>
    <w:uiPriority w:val="99"/>
    <w:rPr>
      <w:rFonts w:ascii="Times New Roman" w:hAnsi="Times New Roman" w:eastAsia="Calibri" w:cs="Times New Roman"/>
      <w:sz w:val="28"/>
      <w:szCs w:val="24"/>
      <w:lang w:eastAsia="ru-RU"/>
    </w:rPr>
  </w:style>
  <w:style w:type="paragraph" w:styleId="971" w:customStyle="1">
    <w:name w:val="ConsPlusNormal"/>
    <w:link w:val="991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2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3">
    <w:name w:val="Header"/>
    <w:basedOn w:val="792"/>
    <w:link w:val="9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4" w:customStyle="1">
    <w:name w:val="Верхний колонтитул Знак"/>
    <w:basedOn w:val="802"/>
    <w:link w:val="9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>
    <w:name w:val="Footer"/>
    <w:basedOn w:val="792"/>
    <w:link w:val="9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6" w:customStyle="1">
    <w:name w:val="Нижний колонтитул Знак"/>
    <w:basedOn w:val="802"/>
    <w:link w:val="97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>
    <w:name w:val="Balloon Text"/>
    <w:basedOn w:val="792"/>
    <w:link w:val="978"/>
    <w:uiPriority w:val="99"/>
    <w:semiHidden/>
    <w:unhideWhenUsed/>
    <w:rPr>
      <w:rFonts w:ascii="Tahoma" w:hAnsi="Tahoma" w:cs="Tahoma"/>
      <w:sz w:val="16"/>
      <w:szCs w:val="16"/>
    </w:rPr>
  </w:style>
  <w:style w:type="character" w:styleId="978" w:customStyle="1">
    <w:name w:val="Текст выноски Знак"/>
    <w:basedOn w:val="802"/>
    <w:link w:val="97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9" w:customStyle="1">
    <w:name w:val="ConsPlusTitle"/>
    <w:uiPriority w:val="99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80">
    <w:name w:val="Emphasis"/>
    <w:basedOn w:val="802"/>
    <w:uiPriority w:val="20"/>
    <w:qFormat/>
    <w:rPr>
      <w:i/>
      <w:iCs/>
    </w:rPr>
  </w:style>
  <w:style w:type="paragraph" w:styleId="981">
    <w:name w:val="No Spacing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lang w:eastAsia="ru-RU"/>
    </w:rPr>
  </w:style>
  <w:style w:type="paragraph" w:styleId="982">
    <w:name w:val="Normal (Web)"/>
    <w:basedOn w:val="792"/>
    <w:uiPriority w:val="99"/>
    <w:semiHidden/>
    <w:unhideWhenUsed/>
    <w:pPr>
      <w:spacing w:before="100" w:beforeAutospacing="1" w:after="100" w:afterAutospacing="1"/>
    </w:pPr>
  </w:style>
  <w:style w:type="paragraph" w:styleId="983">
    <w:name w:val="List Paragraph"/>
    <w:basedOn w:val="792"/>
    <w:uiPriority w:val="34"/>
    <w:qFormat/>
    <w:pPr>
      <w:contextualSpacing/>
      <w:ind w:left="720"/>
    </w:pPr>
  </w:style>
  <w:style w:type="character" w:styleId="984" w:customStyle="1">
    <w:name w:val="Заголовок 4 Знак"/>
    <w:basedOn w:val="802"/>
    <w:link w:val="796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85" w:customStyle="1">
    <w:name w:val="Заголовок 3 Знак"/>
    <w:basedOn w:val="802"/>
    <w:link w:val="79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character" w:styleId="986">
    <w:name w:val="annotation reference"/>
    <w:basedOn w:val="802"/>
    <w:uiPriority w:val="99"/>
    <w:semiHidden/>
    <w:unhideWhenUsed/>
    <w:rPr>
      <w:sz w:val="16"/>
      <w:szCs w:val="16"/>
    </w:rPr>
  </w:style>
  <w:style w:type="paragraph" w:styleId="987">
    <w:name w:val="annotation text"/>
    <w:basedOn w:val="792"/>
    <w:link w:val="988"/>
    <w:uiPriority w:val="99"/>
    <w:semiHidden/>
    <w:unhideWhenUsed/>
    <w:rPr>
      <w:sz w:val="20"/>
      <w:szCs w:val="20"/>
    </w:rPr>
  </w:style>
  <w:style w:type="character" w:styleId="988" w:customStyle="1">
    <w:name w:val="Текст примечания Знак"/>
    <w:basedOn w:val="802"/>
    <w:link w:val="98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9">
    <w:name w:val="annotation subject"/>
    <w:basedOn w:val="987"/>
    <w:next w:val="987"/>
    <w:link w:val="990"/>
    <w:uiPriority w:val="99"/>
    <w:semiHidden/>
    <w:unhideWhenUsed/>
    <w:rPr>
      <w:b/>
      <w:bCs/>
    </w:rPr>
  </w:style>
  <w:style w:type="character" w:styleId="990" w:customStyle="1">
    <w:name w:val="Тема примечания Знак"/>
    <w:basedOn w:val="988"/>
    <w:link w:val="98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91" w:customStyle="1">
    <w:name w:val="ConsPlusNormal Знак"/>
    <w:link w:val="971"/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F7FA4-5FB1-47F9-9F84-98DF12C0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aw62</dc:creator>
  <cp:lastModifiedBy>milr@NSO.LOC</cp:lastModifiedBy>
  <cp:revision>320</cp:revision>
  <dcterms:created xsi:type="dcterms:W3CDTF">2018-04-24T09:48:00Z</dcterms:created>
  <dcterms:modified xsi:type="dcterms:W3CDTF">2025-04-14T03:11:19Z</dcterms:modified>
</cp:coreProperties>
</file>