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9910" cy="659765"/>
                <wp:effectExtent l="0" t="0" r="2540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991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0pt;height:51.9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lang w:val="en-US"/>
        </w:rPr>
      </w:r>
    </w:p>
    <w:p>
      <w:pPr>
        <w:pStyle w:val="7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  <w:r>
        <w:rPr>
          <w:b/>
          <w:bCs/>
          <w:sz w:val="16"/>
          <w:szCs w:val="16"/>
          <w:lang w:val="en-US"/>
        </w:rPr>
      </w:r>
    </w:p>
    <w:p>
      <w:pPr>
        <w:pStyle w:val="720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  <w:r>
        <w:rPr>
          <w:b/>
          <w:bCs/>
          <w:sz w:val="36"/>
          <w:szCs w:val="36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29.03.2024  № 146-п</w:t>
      </w:r>
      <w:bookmarkStart w:id="0" w:name="_GoBack"/>
      <w:r/>
      <w:bookmarkEnd w:id="0"/>
      <w:r/>
      <w:r>
        <w:rPr>
          <w:color w:val="000000"/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Cs w:val="24"/>
        </w:rPr>
      </w:pPr>
      <w:r>
        <w:rPr>
          <w:szCs w:val="24"/>
        </w:rPr>
        <w:t xml:space="preserve">г.</w:t>
      </w:r>
      <w:r>
        <w:rPr>
          <w:szCs w:val="24"/>
        </w:rPr>
        <w:t xml:space="preserve"> </w:t>
      </w:r>
      <w:r>
        <w:rPr>
          <w:szCs w:val="24"/>
        </w:rPr>
        <w:t xml:space="preserve">Новосибирск</w:t>
      </w:r>
      <w:r>
        <w:rPr>
          <w:szCs w:val="24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от 24.11.2014 № 464-п</w:t>
      </w:r>
      <w:r>
        <w:rPr>
          <w:sz w:val="28"/>
          <w:szCs w:val="28"/>
          <w:highlight w:val="white"/>
        </w:rPr>
      </w:r>
    </w:p>
    <w:p>
      <w:pPr>
        <w:contextualSpacing/>
        <w:jc w:val="center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jc w:val="center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 о с т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 24.11.2014 № 464-п «Об утверждении государственной программы Новосибирской области «Развитие лесного хозяйства Новосибирской области» (далее – постановление) следующие изменения: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государственной программе Новосибирской области «Развитие лесного хозяйства Новосибирской области»: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Раздел I «Паспорт государственной программы Новосибирской области «Развитие лесного хозяйства Новосибирской области» изложить в следующей редакции:</w:t>
      </w:r>
      <w:r>
        <w:rPr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b/>
          <w:sz w:val="28"/>
          <w:highlight w:val="white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/>
          <w:sz w:val="28"/>
          <w:highlight w:val="white"/>
        </w:rPr>
        <w:t xml:space="preserve">I. Стратегические приоритеты в сфере реализации</w:t>
      </w:r>
      <w:r>
        <w:rPr>
          <w:rFonts w:ascii="TimesNewRoman" w:hAnsi="TimesNewRoman" w:eastAsia="TimesNewRoman" w:cs="TimesNewRoman"/>
          <w:b/>
          <w:sz w:val="28"/>
          <w:highlight w:val="white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b/>
          <w:sz w:val="28"/>
          <w:highlight w:val="white"/>
        </w:rPr>
        <w:t xml:space="preserve">государственной программы Новосибирской области «Развитие лесного хозяйства Новосибирской области»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bCs/>
          <w:szCs w:val="24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1. Оценка текущего состояния сферы реализации государственной</w:t>
      </w:r>
      <w:r>
        <w:rPr>
          <w:rFonts w:ascii="TimesNewRoman" w:hAnsi="TimesNewRoman" w:eastAsia="TimesNewRoman" w:cs="TimesNewRoman"/>
          <w:highlight w:val="white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программы</w:t>
      </w:r>
      <w:r>
        <w:rPr>
          <w:rFonts w:ascii="TimesNewRoman" w:hAnsi="TimesNewRoman" w:eastAsia="TimesNewRoman" w:cs="TimesNewRoman"/>
          <w:bCs/>
          <w:szCs w:val="24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b/>
          <w:bCs/>
          <w:szCs w:val="24"/>
          <w:highlight w:val="white"/>
        </w:rPr>
      </w:pPr>
      <w:r>
        <w:rPr>
          <w:rFonts w:ascii="TimesNewRoman" w:hAnsi="TimesNewRoman" w:eastAsia="TimesNewRoman" w:cs="TimesNewRoman"/>
          <w:b/>
          <w:bCs/>
          <w:szCs w:val="24"/>
          <w:highlight w:val="white"/>
        </w:rPr>
      </w:r>
      <w:r>
        <w:rPr>
          <w:rFonts w:ascii="TimesNewRoman" w:hAnsi="TimesNewRoman" w:eastAsia="TimesNewRoman" w:cs="TimesNewRoman"/>
          <w:b/>
          <w:bCs/>
          <w:szCs w:val="24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Лесное хозяйство является видом экономической деятельности, в рамках которого осуществляется система мероприятий, направленных на воспроизводство лесов, охрану их от пожаро</w:t>
      </w:r>
      <w:r>
        <w:rPr>
          <w:sz w:val="28"/>
          <w:szCs w:val="28"/>
          <w:highlight w:val="white"/>
        </w:rPr>
        <w:t xml:space="preserve">в, защиту от вредных организмов и иных негативных факторов, регулирование использования лесов и учет лесных ресурсов в целях удовлетворения потребностей экономики в древесине и другой лесной продукции при сохранении экологических и социальных функций леса.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Значительная часть лесов области относится к защитным лесам, выполняющим водоохранные, санитарно-гигиенические, оздоровительные, рекреационные и иные полезные функции.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01.01.2024 в Новосибирской области земли лесного фонда занимают 6 531,1 тыс. га, что составляет 38% всей территории, из них 4 719,5, тыс. га (72,3%)</w:t>
      </w:r>
      <w:r>
        <w:rPr>
          <w:sz w:val="28"/>
          <w:szCs w:val="28"/>
          <w:highlight w:val="white"/>
        </w:rPr>
        <w:t xml:space="preserve"> –</w:t>
      </w:r>
      <w:r>
        <w:rPr>
          <w:sz w:val="28"/>
          <w:szCs w:val="28"/>
          <w:highlight w:val="white"/>
        </w:rPr>
        <w:t xml:space="preserve"> земли, покрытые лесной растительностью, лесистость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27,8%.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 структуре площади </w:t>
      </w:r>
      <w:r>
        <w:rPr>
          <w:sz w:val="28"/>
          <w:szCs w:val="28"/>
          <w:highlight w:val="white"/>
        </w:rPr>
        <w:t xml:space="preserve">земель, занятых лесными насаждениями (покрытых лесной растительностью), в Новосибирской области преобладают насаждения, достигшие возраста спелости и перестойные. Общий запас древесины Новосибирской области составляет 579,4 млн куб. м, в том числе хвойной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128,4 млн куб. м (22,2%), мягколиственной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450,9 </w:t>
      </w:r>
      <w:r>
        <w:rPr>
          <w:sz w:val="28"/>
          <w:szCs w:val="28"/>
          <w:highlight w:val="white"/>
        </w:rPr>
        <w:t xml:space="preserve">млн</w:t>
      </w:r>
      <w:r>
        <w:rPr>
          <w:sz w:val="28"/>
          <w:szCs w:val="28"/>
          <w:highlight w:val="white"/>
        </w:rPr>
        <w:t xml:space="preserve"> куб. м (77,8%). Ежегодный допустимый объем изъятия древесины (расчетная лесосека) составляет 4 733,5 тыс. куб. м.</w:t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состоянию на 01.01.2024 года: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лесистость территории Новосиби</w:t>
      </w:r>
      <w:r>
        <w:rPr>
          <w:sz w:val="28"/>
          <w:szCs w:val="28"/>
          <w:highlight w:val="white"/>
        </w:rPr>
        <w:t xml:space="preserve">рской области составила 27,8%. Лесистость характеризует степень облесенности территории и определяется как отношение площади покрытых лесной растительностью земель к общей площади субъекта Российской Федерации. Новосибирская область традиционно относится к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малолесным регионам Российской Федерации (справочно: по состоянию на 01.01.2015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26,7%);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объем платежей в бюджетную систему Российской Федерации от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использования лесов, расположенных на землях лесного фонда, в расчете на 1 га земель лесного фонда Новосибирской области составил 51,4 руб./га (справочно: по состоянию на 01.01.2015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20,7 руб./га);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доля площадей земель лесного фонда, переданных в аренду, в общей площади земель лесного фонда Новосибирской области составила 28,9% (справочно: по состоянию на 01.01.2015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19,4%);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доля лесных пожаров, ликвидированных в течение первых суток с момента обнаружения, в общем количестве лесных пожаров в Новосибирской области составила 99,5% (справочно: по состоянию на 01.01.2015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99,7%);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отношение фактического объема заготовки древесины к установленному допустимому объему изъятия древесины в Новосибирской области составила 18,9% (справочно: по состоянию на 01.01.2015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19,6%);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доля лесных пожаров, возникших по вине граждан, в общем количестве лесных пожаров, составила 37,6% (справочно: по состоянию на 01.01.2015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56,8%)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Экономический потенциал лесной отрасли региона используется недостаточно эффективно. Новосибирская область не является базой для крупных лесопромышленных произв</w:t>
      </w:r>
      <w:r>
        <w:rPr>
          <w:sz w:val="28"/>
          <w:szCs w:val="28"/>
          <w:highlight w:val="white"/>
        </w:rPr>
        <w:t xml:space="preserve">одств с точки зрения обеспеченности лесосырьевыми ресурсами. Но развитие лесного хозяйства Новосибирской области играет важную социально-экономическую роль в обеспечении лесосырьевыми ресурсами местного населения и развития сельской инфраструктуры региона.</w:t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Основными причинами выбытия лесов на территории Новосиб</w:t>
      </w:r>
      <w:r>
        <w:rPr>
          <w:sz w:val="28"/>
          <w:szCs w:val="28"/>
          <w:highlight w:val="white"/>
        </w:rPr>
        <w:t xml:space="preserve">ирской области являются последствия пожаров, возникновение очагов вредных организмов и болезней леса, неблагоприятные погодные условия, почвенно-климатические факторы, к которым относится ветровал, вымокание, изменение уровня грунтовых вод, переувлажнение.</w:t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Ежегодно леса нуждаются в проведении лесовосстановительных мероприятий, направленных на обеспечение баланса выбытия и воспроизводства лесов с целью сохранения экологического и лесосырьевого потенциала Новосибирской области.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До настоящего времени остаются нерешенными такие проблемы, как недостаточная актуализация информационных данных о потенциале лесных ресурсов, их количественных и качественных ха</w:t>
      </w:r>
      <w:r>
        <w:rPr>
          <w:sz w:val="28"/>
          <w:szCs w:val="28"/>
          <w:highlight w:val="white"/>
        </w:rPr>
        <w:t xml:space="preserve">рактеристиках. Давность материалов лесоустройства по некоторым лесничествам Новосибирской области составляет 20 и более лет. Доля земель лесного фонда, имеющих актуальные материалы лесоустройства, в Новосибирской области на 01.01.2024 составила лишь 45,9%.</w:t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Имеют место незаконные рубки лесных насаждений, приводящие к существенному сокращению площади хвойных насаждений и ухудшению качественного состава лесов. Дл</w:t>
      </w:r>
      <w:r>
        <w:rPr>
          <w:sz w:val="28"/>
          <w:szCs w:val="28"/>
          <w:highlight w:val="white"/>
        </w:rPr>
        <w:t xml:space="preserve">я предотвращения нелегальных рубок продолжатся контрольные мероприятия (рейды обследования, проверки), а также проверки исполнения лесного законодательства Российской Федерации в рамках переданных полномочий Российской Федерации в области лесных отношений.</w:t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Существующие в лесном хозяйстве Новосибирской области проблемы носят комплексный характер. </w:t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Реализация мероприятий государственной программы позволит обеспечить охрану, защиту, рациональное использование и воспроизводство лесных ресурсов на территории Новосибирской области.</w:t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trike/>
          <w:sz w:val="28"/>
          <w:szCs w:val="28"/>
          <w:highlight w:val="white"/>
        </w:rPr>
      </w:pPr>
      <w:r>
        <w:rPr>
          <w:strike/>
          <w:sz w:val="28"/>
          <w:szCs w:val="28"/>
          <w:highlight w:val="white"/>
        </w:rPr>
      </w:r>
      <w:r>
        <w:rPr>
          <w:strike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2. Приоритеты и цели государственной политики в сфере реализации</w:t>
      </w:r>
      <w:r>
        <w:rPr>
          <w:rFonts w:ascii="TimesNewRoman" w:hAnsi="TimesNewRoman" w:eastAsia="TimesNewRoman" w:cs="TimesNewRoman"/>
          <w:highlight w:val="white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bCs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государственной программы</w:t>
      </w:r>
      <w:r>
        <w:rPr>
          <w:rFonts w:ascii="TimesNewRoman" w:hAnsi="TimesNewRoman" w:eastAsia="TimesNewRoman" w:cs="TimesNewRoman"/>
          <w:bCs/>
          <w:sz w:val="28"/>
          <w:szCs w:val="28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Приоритеты государственной политики в сфере лесного хозяйства определены в Указах Пре</w:t>
      </w:r>
      <w:r>
        <w:rPr>
          <w:sz w:val="28"/>
          <w:szCs w:val="28"/>
          <w:highlight w:val="white"/>
        </w:rPr>
        <w:t xml:space="preserve">зидента Российской Федерации от 07.05.2018 № 204 «О национальных целях и стратегических задачах развития Российской Федерации на период до 2024 года», от 21.07.2020 № 474 «О национальных целях развития Российской Федерации на период до 2030 года», а также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Стратегии развития лесного комплекса Российской Федерации до 2030 года, утвержденной распоряжением Правительства Российской Федерации от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11.02.2021 №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312-р, Стратегии социально-экономического развития Новосибирской области на период до 2030 год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утвержденной постановлением Правительства Новосибирской области от 19.03.2019 № 105-п.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 xml:space="preserve">Государственная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программа направлена на достижение национальной цели развития Российской Федерации на период до 2030 года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«Комфортная и безопасная среда для жизни»</w:t>
      </w:r>
      <w:r>
        <w:rPr>
          <w:sz w:val="28"/>
          <w:highlight w:val="white"/>
        </w:rPr>
        <w:t xml:space="preserve">. Одним из факторов по достижению национальной цели развития Российской Федерации «Комфортная и безопасная среда для жизни» в</w:t>
      </w:r>
      <w:r>
        <w:rPr>
          <w:sz w:val="28"/>
          <w:highlight w:val="white"/>
        </w:rPr>
        <w:t xml:space="preserve"> </w:t>
      </w:r>
      <w:r>
        <w:rPr>
          <w:sz w:val="28"/>
          <w:highlight w:val="white"/>
        </w:rPr>
        <w:t xml:space="preserve">соответствии с Единым планом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</w:t>
      </w:r>
      <w:r>
        <w:rPr>
          <w:sz w:val="28"/>
          <w:highlight w:val="white"/>
        </w:rPr>
        <w:t xml:space="preserve"> </w:t>
      </w:r>
      <w:r>
        <w:rPr>
          <w:sz w:val="28"/>
          <w:highlight w:val="white"/>
        </w:rPr>
        <w:t xml:space="preserve">01.10.2021 № 2765-р, является фактор «Сохранение природного потенциала».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со 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19.03.2019 № 105-п и Планом мероприятий по реализации Стратегии социально-экономического развития Новосибирской области на период до 2030 года», утвержденным постановлением  </w:t>
      </w:r>
      <w:r>
        <w:rPr>
          <w:sz w:val="28"/>
          <w:szCs w:val="28"/>
          <w:highlight w:val="white"/>
        </w:rPr>
        <w:t xml:space="preserve">Правительства Новосибирской области от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31.12.2019 №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514-п приоритетным направлением в сфере реализации государственной программы является обеспечение соблюдения сбалансированного потребления природных ресурсов исходя из объективных потребностей будущих поколений и сохранения природы 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целом за счет: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повышения эффективности охраны лесов от пожаров, защиты лесов от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вредителей, болезней и других неблагоприятных факторов, а также от незаконных рубок;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обеспечения баланса выбытия и восстановления лесов, повышения продуктивности и качества лесов.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Целями государственной программы являются: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повышение эффективности ведения лесного хозяйства, охраны, защиты, использования лесов и воспроизводства лесов, обеспечение кадрового развития лесного хозяйства, а также обеспечение комфортной и безопасной среды для жителей Новосибирской области;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  <w:highlight w:val="white"/>
        </w:rPr>
        <w:t xml:space="preserve">обеспечение воспроизводства лесов на уровне не менее 100% к объему вырубленных и погибших лесов</w:t>
      </w:r>
      <w:r>
        <w:rPr>
          <w:highlight w:val="white"/>
        </w:rPr>
        <w:t xml:space="preserve">.</w:t>
      </w:r>
      <w:r/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3. Сведения о взаимосвязи со стратегическими приоритетами, целями и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 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показателями государственных программ Российской Федерации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Государственная программа разработана с учетом стратегических приоритетов, целей и показателей государственной программы «Развитие лесного хозяйства», утвержденной постановлением Правительства Российской Федерации от 15.04.2014 №</w:t>
      </w:r>
      <w:r>
        <w:rPr>
          <w:highlight w:val="white"/>
        </w:rPr>
        <w:t xml:space="preserve"> 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318.</w:t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ind w:firstLine="709"/>
        <w:jc w:val="both"/>
        <w:spacing w:before="0" w:after="0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sz w:val="28"/>
          <w:highlight w:val="white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4. Задачи (направления) государственной программы, </w:t>
      </w:r>
      <w:r>
        <w:rPr>
          <w:rFonts w:ascii="TimesNewRoman" w:hAnsi="TimesNewRoman" w:eastAsia="TimesNewRoman" w:cs="TimesNewRoman"/>
          <w:sz w:val="28"/>
          <w:highlight w:val="white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bCs/>
          <w:szCs w:val="24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способы их эффективного решения</w:t>
      </w:r>
      <w:r>
        <w:rPr>
          <w:rFonts w:ascii="TimesNewRoman" w:hAnsi="TimesNewRoman" w:eastAsia="TimesNewRoman" w:cs="TimesNewRoman"/>
          <w:bCs/>
          <w:szCs w:val="24"/>
        </w:rPr>
      </w:r>
    </w:p>
    <w:p>
      <w:pPr>
        <w:jc w:val="center"/>
        <w:spacing w:before="0" w:after="0"/>
        <w:rPr>
          <w:rFonts w:ascii="TimesNewRoman" w:hAnsi="TimesNewRoman" w:eastAsia="TimesNewRoman" w:cs="TimesNewRoman"/>
          <w:b/>
          <w:bCs/>
          <w:szCs w:val="24"/>
          <w:highlight w:val="white"/>
        </w:rPr>
      </w:pPr>
      <w:r>
        <w:rPr>
          <w:rFonts w:ascii="TimesNewRoman" w:hAnsi="TimesNewRoman" w:eastAsia="TimesNewRoman" w:cs="TimesNewRoman"/>
          <w:b/>
          <w:bCs/>
          <w:szCs w:val="24"/>
          <w:highlight w:val="white"/>
        </w:rPr>
      </w:r>
      <w:r>
        <w:rPr>
          <w:rFonts w:ascii="TimesNewRoman" w:hAnsi="TimesNewRoman" w:eastAsia="TimesNewRoman" w:cs="TimesNewRoman"/>
          <w:b/>
          <w:bCs/>
          <w:szCs w:val="24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Задача государственной программы: использование, охрана, защита и воспроизводство лесов.</w:t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Решение указанной задачи будет осуществляться путем:</w:t>
      </w:r>
      <w:r>
        <w:rPr>
          <w:rFonts w:ascii="TimesNewRoman" w:hAnsi="TimesNewRoman" w:eastAsia="TimesNewRoman" w:cs="TimesNewRoman"/>
          <w:highlight w:val="white"/>
        </w:rPr>
      </w:r>
    </w:p>
    <w:p>
      <w:pPr>
        <w:ind w:firstLine="709"/>
        <w:jc w:val="both"/>
        <w:spacing w:before="0" w:after="0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своевременного осуществления мер по предупреждению и сокращению потерь лесного хозяйства от пожаров и вредных организмов;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своевременного осуществления ухода за лесами и организации интенсивного использования лесов с учетом сохранения их экологического потенциала;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обеспечения соблюдений требований законодательства в сфере лесных отношений, а также создания условий для повышения уровня кадрового потенциала, производительности труда;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сохранения лесов, в том числе на основе их воспроизводства на всех участках вырубленных и погибших лесных насаждений.».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Раздел II. «Обоснование необходимости реализации государственной программы», раздел IV. «Система основных мероприятий государственной программы» 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признать утратившими силу.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Приложение № 1 «Цели, задачи и целевые индикаторы государственной </w:t>
      </w:r>
      <w:r>
        <w:rPr>
          <w:sz w:val="28"/>
          <w:szCs w:val="28"/>
          <w:highlight w:val="white"/>
        </w:rPr>
        <w:t xml:space="preserve">программы Новосибирской области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«Развитие лесного хозяйства Новосибирской области»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 изложить в редакции согласно приложению № 1 к настоящему постановлению.</w:t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before="0" w:after="0"/>
        <w:widowControl w:val="off"/>
        <w:rPr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4. Приложение № 2 «Основные мероприятия государственной программы Новосибирской области «Развитие лесного хозяйства Новосибирской о</w:t>
      </w:r>
      <w:r>
        <w:rPr>
          <w:sz w:val="28"/>
          <w:szCs w:val="28"/>
          <w:highlight w:val="white"/>
        </w:rPr>
        <w:t xml:space="preserve">бласти» 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2015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2018 гг.» признать утратившим силу.</w:t>
      </w:r>
      <w:r>
        <w:rPr>
          <w:szCs w:val="28"/>
          <w:highlight w:val="white"/>
        </w:rPr>
      </w:r>
    </w:p>
    <w:p>
      <w:pPr>
        <w:contextualSpacing/>
        <w:ind w:firstLine="720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Приложение № 2.1 «Основные мероприятия государственной программы Новосибирской области «Развитие лесного хозяйства Новосибирской области» с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2019 года» 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изложить в редакции согласно приложению № 2 к настоящему постановлению.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6.</w:t>
      </w:r>
      <w:r>
        <w:rPr>
          <w:sz w:val="28"/>
          <w:szCs w:val="28"/>
          <w:highlight w:val="white"/>
        </w:rPr>
        <w:t xml:space="preserve"> Приложение № 3 «Сводные финансовые затраты и налоговые расходы государственной программы Новосибирской области «Развитие лесного хозяйства Новосибирской области» изложить в редакции согласно приложению № 3 к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настоящему постановлению.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 Приложение № 4 «Подпрограмма 1 «Обеспечение использования, охраны, защиты и воспроизводства лесов» государственной программы Новосибирской области «Развитие лесного хозяйства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 области», приложение № 5 </w:t>
      </w:r>
      <w:r>
        <w:rPr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Подпрограмма 2 «Обеспечение реализации государственной программы «Развитие лесного хозяйства Новосибирской области» государственной программы Новосибирской области «Развитие лесного хозяйства Новосибирской области» 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признать утратившими силу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rPr>
          <w:rFonts w:ascii="TimesNewRoman" w:hAnsi="TimesNewRoman" w:eastAsia="TimesNewRoman" w:cs="TimesNewRoman"/>
          <w:color w:val="000000"/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8. 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  <w:t xml:space="preserve">Признать утратившими силу с 01.06.2024: 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</w:r>
    </w:p>
    <w:p>
      <w:pPr>
        <w:contextualSpacing/>
        <w:ind w:firstLine="709"/>
        <w:jc w:val="both"/>
        <w:spacing w:before="0" w:after="0"/>
        <w:rPr>
          <w:rFonts w:ascii="TimesNewRoman" w:hAnsi="TimesNewRoman" w:eastAsia="TimesNewRoman" w:cs="TimesNewRoman"/>
          <w:color w:val="000000"/>
          <w:sz w:val="28"/>
          <w:highlight w:val="white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приложение № 1 «Цели, задачи и целевые индикаторы государственной программы Новосибирской области </w:t>
      </w:r>
      <w:r>
        <w:rPr>
          <w:sz w:val="28"/>
          <w:szCs w:val="28"/>
          <w:highlight w:val="white"/>
        </w:rPr>
        <w:t xml:space="preserve">«Развитие лесного хозяйства Новосибирской области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  <w:t xml:space="preserve">»;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</w:r>
    </w:p>
    <w:p>
      <w:pPr>
        <w:contextualSpacing/>
        <w:ind w:firstLine="709"/>
        <w:jc w:val="both"/>
        <w:spacing w:before="0" w:after="0"/>
        <w:rPr>
          <w:rFonts w:ascii="TimesNewRoman" w:hAnsi="TimesNewRoman" w:eastAsia="TimesNewRoman" w:cs="TimesNewRoman"/>
          <w:color w:val="000000"/>
          <w:sz w:val="28"/>
          <w:highlight w:val="white"/>
        </w:rPr>
      </w:pPr>
      <w:r>
        <w:rPr>
          <w:rFonts w:ascii="TimesNewRoman" w:hAnsi="TimesNewRoman" w:eastAsia="TimesNewRoman" w:cs="TimesNewRoman"/>
          <w:color w:val="000000"/>
          <w:sz w:val="28"/>
          <w:highlight w:val="white"/>
        </w:rPr>
        <w:t xml:space="preserve">приложение № 2.1 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«Основные мероприятия государственной программы Новосибирской области «</w:t>
      </w:r>
      <w:r>
        <w:rPr>
          <w:sz w:val="28"/>
          <w:szCs w:val="28"/>
          <w:highlight w:val="white"/>
        </w:rPr>
        <w:t xml:space="preserve">Развитие лесного хозяйства Новосибирской области» с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2019 года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  <w:t xml:space="preserve">»;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</w:r>
    </w:p>
    <w:p>
      <w:pPr>
        <w:contextualSpacing/>
        <w:ind w:firstLine="709"/>
        <w:jc w:val="both"/>
        <w:spacing w:before="0" w:after="0"/>
        <w:rPr>
          <w:rFonts w:ascii="TimesNewRoman" w:hAnsi="TimesNewRoman" w:eastAsia="TimesNewRoman" w:cs="TimesNewRoman"/>
          <w:sz w:val="28"/>
          <w:highlight w:val="white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приложение № 3 «</w:t>
      </w:r>
      <w:r>
        <w:rPr>
          <w:sz w:val="28"/>
          <w:szCs w:val="28"/>
          <w:highlight w:val="white"/>
        </w:rPr>
        <w:t xml:space="preserve">Сводные финансовые затраты и налоговые расходы государственной программы Новосибирской области «Развитие лесного хозяйства Новосибирской области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  <w:t xml:space="preserve">.</w:t>
      </w:r>
      <w:r>
        <w:rPr>
          <w:rFonts w:ascii="TimesNewRoman" w:hAnsi="TimesNewRoman" w:eastAsia="TimesNewRoman" w:cs="TimesNewRoman"/>
          <w:sz w:val="28"/>
          <w:highlight w:val="white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bCs/>
          <w:sz w:val="28"/>
        </w:rPr>
        <w:t xml:space="preserve">И.о. Губернатора Новосибирской области В.М. Знатков</w:t>
      </w:r>
      <w:r>
        <w:rPr>
          <w:bCs/>
          <w:sz w:val="28"/>
        </w:rPr>
        <w:br/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</w:rPr>
      </w:pPr>
      <w:r>
        <w:rPr>
          <w:sz w:val="20"/>
        </w:rPr>
        <w:t xml:space="preserve">Е.А. Шестернин</w:t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  <w:sectPr>
          <w:headerReference w:type="default" r:id="rId10"/>
          <w:footerReference w:type="first" r:id="rId11"/>
          <w:footnotePr/>
          <w:endnotePr/>
          <w:type w:val="nextPage"/>
          <w:pgSz w:w="11909" w:h="16834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0"/>
        </w:rPr>
        <w:t xml:space="preserve">296 51 70</w:t>
      </w:r>
      <w:r>
        <w:rPr>
          <w:sz w:val="20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 29.03.2024  № 146-п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«ПРИЛОЖЕНИЕ № 1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«Развитие лесного хозяйства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ЦЕЛИ, ЗАДАЧИ И ЦЕЛЕВЫЕ ИНДИКАТОРЫ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Новосибирской области «Развитие лесного хозяйства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501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42"/>
        <w:gridCol w:w="10"/>
        <w:gridCol w:w="2409"/>
        <w:gridCol w:w="991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2256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Цель/задачи, требующие решения для достижения цели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целевого индикатора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10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Значение целевого индикатора, в том числе по годам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Примечание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2014 (факт)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Государственная программа Новосибирской области «Развитие лесного хозяйства Новосибирской области»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2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 государственной программы: повышение эффекти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1 цели государственной программы: сокращение потерь лесного хозяйства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лесоразведения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 Доля площади лесов, выбывших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из состава покрытых лесной растительностью земель лесного фонда в связи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воздействием пожаров, вредных организмов, рубок и других факторов,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общей площади покрытых лесной растительностью земель лесного фонда на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0,047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0,159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0,157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/>
            <w:r/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2017 года показатель исключен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 Отношение фактического объема заготовки древесины к установленному допустимому объему изъятия древесины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24,0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20,1%,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20,3%,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20,0%, среднемноголетнее значение за 2017–2021 гг. – 20,7%;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2018–2022 гг. – 20,2%;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2019–2023 гг. – 19,9%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 Лесистость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26,7%,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27,1%,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27,2%,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27,3%, среднемноголетнее значение за 2017–2021 гг. – 27,3%;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2018–2022 гг. – 20,4%;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2019–2023 гг. – 27,5%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 Отношение площади лесовосстановления и лесоразведения к площади вырубленных и погибших лесных насаждений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110,6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индикатор введен с 2019 года (в качестве базового значения приводится фактическое значение 2018 года). Индикатор является показателем регионального проекта «Сохранение лесов» в 2019–2024 годах.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РП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2 цели государственной программы: повышение эффективности управления лесами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 Объем платежей в бюджетную систему Российской Федерации от использования лесов, расположенных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землях лесного фонда, в расчете на 1 га земель лесного фонда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руб.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52,3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53,0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58,7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21 руб./га,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</w:t>
            </w:r>
            <w:r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за 2014–2018 гг. – 28,4 руб./га,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</w:t>
            </w:r>
            <w:r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за 2015–2019 гг. – 33,5 руб./га,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</w:t>
            </w:r>
            <w:r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за 2016–2020 гг. – 38,8 руб./га,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среднемноголетнее значение </w:t>
            </w:r>
            <w:r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за 2017–2021 гг. – 44,4 руб./га;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2018–2022 гг. – 48,9 руб./га;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2019–2023 гг. – 51,0%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39" w:type="dxa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3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1 цели государстве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 качества на основе их гарантированного воспроизводства и лесоразведения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39" w:type="dxa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1 государственной программы «Обеспечение использования, охраны, защиты и воспроизводства лесов»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5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 гарантированного воспроизводства и лесоразведения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1 цели подпрограммы 1 государственной программы: повышение эффективности предупреждения и сокращения потерь лесного хозяйства от пожаров и вредных организмов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 Площадь лесных пожаров на землях лесного фонда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4329,1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1797,69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индикатор введен с 2023 года (в качестве базового значения приводится значение 2022 года).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2017–2021 гг. – 2079,68 га, среднемноголетнее значение за 2018–2022 гг. – 2737,64 га;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2019–2023 гг. –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3315,9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 Доля лесных пожаров, возникших по вине граждан, в общем количестве лесных пожаров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56,8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56,8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56,7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39,62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39,61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37,70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32,80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29,31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20,35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20,34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56,8%,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2012–2016 гг. – 39,62%,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37,74%,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32,84%,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29,32%, среднемноголетнее значение за 2017–2021 гг. – 28,81%, среднемноголетнее значение за 2018–2022 гг. – 31,05%;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2019–2023 гг. – 32,73%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8. Доля лесных пожаров, ликвидированных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течение первых суток с момента обнаружения,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общем количестве лесных пожаров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94,7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95,68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88,16%,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2012–2016 гг. – 95,67%,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99,94%,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100,0%,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99,94%, среднемноголетнее значение за 2017–2021 гг. – 98,26%, среднемноголетнее значение за 2018–2022 гг. – 97,28%;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2019–2023 гг. – 97,18%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9. Доля крупных лесных пожаров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общем количестве лесных пожаров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 Доля площади лесов на землях лесного фонда,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которых осуществляются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течение года наземные лесопатологические обследования,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общей площади земель лесного фонда, покрытых лесной растительностью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0,41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0,41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0,41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0,41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11. Отношение площади ликвидированных очагов вредных организмов в лесах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площади очагов вредных организмов в лесах, требующих мер борьбы с ними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56,0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5,17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36,4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2017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12. Отношение площади лесов,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которых были проведены санитарно-оздоровительные мероприятия, к площади погибших и поврежденных лесов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69,4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91,9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94,3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95,5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13. 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0,08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0,129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0,126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2019 года, среднемноголетнее значение за 2014–2018 гг. – 2,3%,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среднемноголетнее значение за 2015–2019 гг. – 0,23%,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среднемноголетнее значение за 2016–2020 гг. – 0,3%,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среднемноголетнее значение за 2017–2021 гг. – 0,27% среднемноголетнее значение за 2018–2022 гг. – 0,1%;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0,1%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2 цели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биологического разнообразия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14.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Площадь лесов, находящихся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составе земель лесного фонда, на которой проведены мероприятия лесоустройства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тыс. 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86,047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173,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506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35,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389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133,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853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15. Доля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69,3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индикатор введен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2020 года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(в качестве базового значения приводится фактическое значение 2019 года),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2023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16. Площадь отвода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таксации лесосек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тыс. 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44,8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43,4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17. Доля площади земель лесного фонда, переданных в пользование, в общей площади земель лесного фонда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18. Доля объема заготовки древесины выборочными рубками в общем объеме заготовки древесины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72,2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68,8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71,35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76,81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72,61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65,0%,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2012–2016 гг. – 70,6%,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70,4%,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70,6%,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70,94%, среднемноголетнее значение за 2017–2021 гг. – 72,87%, среднемноголетнее значение за 2018–2022 гг. – 72,61%;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2019–2023 гг. – 72,47%.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19. Доля семян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улучшенными наследственными свойствами в общем объеме заготовленных семян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46,3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26,7%,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2012–2016 гг. – 20,4%,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19,7%,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12,8%,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12,5%, среднемноголетнее значение за 2017–2021 гг. – 8,96%, среднемноголетнее значение за 2018–2022 гг. – 10,6%;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2019–2023 гг. – 13,34%.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20. Отношение площади искусственного лесовосстановления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площади выбытия лесов в результате сплошных рубок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73,5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36,2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37,5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38,7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40,1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2018 года показатель исключен 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21. Доля площади ценных лесных насаждений в составе занятых лесными насаждениями земель лесного фонда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88,6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88,6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88,6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2017 года применяется новая методика расчета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22. Доля площади ценных лесных насаждений в составе занятых лесными насаждениями земель лесного фонда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индикатор введен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2017 года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(в качестве базового значения приводится фактическое значение 2016 года), 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3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2 цели государственной программы: повышение эффективности управления лесами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2 «Обеспечение реализации государственной программы «Развитие лесного хозяйства Новосибирской области»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5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 подпрограммы 2 государственной программы: повышение эффективности управления лесами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1 цели подпрограммы 2 государственной программы: обеспечение соблюдения требований законодательства в сфере лесных отношений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23. Отношение количества случаев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установленными нарушителями лесного законодательства к общему количеству зарегистрированных случаев нарушений лесного законодательства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94,6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95,3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96,0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24. Отношение суммы возмещенного ущерба от нарушений лесного законодательства к сумме нанесенного ущерба от нарушений лесного законодательства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25. 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2015–2018 гг. – 4,7%, индикатор введен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Средняя численность должностных лиц, осуществляющих федеральный государственный лесной контроль (надзор),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на 50 тыс. га земель лесного фонда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чел.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1,69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1,67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2023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27. Доля выписок, предоставленных гражданам и юридическим лицам, обратившимся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министерство природных ресурсов и экологии Новосибирской области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такой услуги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2023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2 цели подпрограммы 2 государственной программы: создание условий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для повышения уровня кадрового потенциала,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производительности труда в лесном секторе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28. Доля обучающихся, успешно прошедших государственную (итоговую) аттестацию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2020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29. Отношение средней заработной платы преподавателей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мастеров производственного обучения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ГБПОУ НСО «ТЛТ» к средней заработной плате по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2020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30. Доля специалистов лесного хозяйства, прошедших повышение квалификации,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общей численности работников лесного хозяйства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5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31. Прирост производительности труда в лесном секторе Новосибирской области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предыдущему году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</w:tbl>
    <w:p>
      <w:pPr>
        <w:pStyle w:val="31"/>
        <w:ind w:left="0"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06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– значения целевых индикаторов на 20</w:t>
      </w:r>
      <w:r>
        <w:rPr>
          <w:sz w:val="28"/>
          <w:szCs w:val="28"/>
        </w:rPr>
        <w:t xml:space="preserve">15–2023 гг. установлены в соответствии с показателями, утвержденными для Новосибирской области государственной программой Российской Федерации «Развитие лесного хозяйства», утвержденной постановлением Правительства Российской Федерации от 15.04.2014 № 318;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2</w:t>
      </w:r>
      <w:r>
        <w:rPr>
          <w:sz w:val="28"/>
          <w:szCs w:val="28"/>
        </w:rPr>
        <w:t xml:space="preserve"> – с 2016 года значения рассчитываются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Применяемое сокращение: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ГБПОУ НСО «ТЛТ» – государственное бюджетное профессиональное образовательное учреждение Новосибирской области «Тогучинский лесхоз-техникум».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ind w:left="0"/>
        <w:jc w:val="center"/>
        <w:tabs>
          <w:tab w:val="left" w:pos="1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1"/>
        <w:ind w:left="0"/>
        <w:jc w:val="center"/>
        <w:tabs>
          <w:tab w:val="left" w:pos="1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</w:p>
    <w:p>
      <w:pPr>
        <w:ind w:left="10490"/>
        <w:jc w:val="center"/>
        <w:spacing w:before="0" w:after="0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ПРИЛОЖЕНИЕ № 2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spacing w:before="0" w:after="0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к постановлению Правительства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spacing w:before="0" w:after="0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Новосибирской области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spacing w:before="0" w:after="0"/>
        <w:widowControl w:val="off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от 29.03.2024  № 146-п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490"/>
        <w:jc w:val="center"/>
        <w:spacing w:before="0" w:after="0"/>
        <w:widowControl w:val="off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490"/>
        <w:jc w:val="center"/>
        <w:spacing w:before="0" w:after="0"/>
        <w:widowControl w:val="off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490"/>
        <w:jc w:val="center"/>
        <w:spacing w:before="0" w:after="0"/>
        <w:widowControl w:val="off"/>
        <w:rPr>
          <w:sz w:val="28"/>
          <w:szCs w:val="28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«ПРИЛОЖЕНИЕ №</w:t>
      </w:r>
      <w:r>
        <w:rPr>
          <w:sz w:val="28"/>
          <w:szCs w:val="28"/>
        </w:rPr>
        <w:t xml:space="preserve"> 2.1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«Развитие лесного хозяйства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/>
      <w:bookmarkStart w:id="0" w:name="undefined"/>
      <w:r/>
      <w:bookmarkEnd w:id="0"/>
      <w:r>
        <w:rPr>
          <w:b/>
          <w:sz w:val="28"/>
          <w:szCs w:val="28"/>
        </w:rPr>
        <w:t xml:space="preserve">ОСНОВНЫЕ МЕРОПРИЯТИЯ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программы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лесного хозяйства Новосибирской области» с 2019 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415"/>
        <w:gridCol w:w="567"/>
        <w:gridCol w:w="567"/>
        <w:gridCol w:w="567"/>
        <w:gridCol w:w="567"/>
        <w:gridCol w:w="1134"/>
        <w:gridCol w:w="1134"/>
        <w:gridCol w:w="1134"/>
        <w:gridCol w:w="1134"/>
        <w:gridCol w:w="1130"/>
        <w:gridCol w:w="1700"/>
        <w:gridCol w:w="2663"/>
      </w:tblGrid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Наименование мероприятия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10"/>
            <w:tcMar>
              <w:left w:w="57" w:type="dxa"/>
              <w:top w:w="28" w:type="dxa"/>
              <w:right w:w="57" w:type="dxa"/>
              <w:bottom w:w="28" w:type="dxa"/>
            </w:tcMar>
            <w:tcW w:w="9349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Ресурсное обеспечение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ГРБС (ответственный исполнитель)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Ожидаемый результат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(краткое описание)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23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4"/>
            <w:tcMar>
              <w:left w:w="57" w:type="dxa"/>
              <w:top w:w="28" w:type="dxa"/>
              <w:right w:w="57" w:type="dxa"/>
              <w:bottom w:w="2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код бюджетной классификации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5"/>
            <w:tcMar>
              <w:left w:w="57" w:type="dxa"/>
              <w:top w:w="28" w:type="dxa"/>
              <w:right w:w="57" w:type="dxa"/>
              <w:bottom w:w="28" w:type="dxa"/>
            </w:tcMar>
            <w:tcW w:w="566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 годам реализации, тыс. руб.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ГРБС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ГП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пГП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ОМ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W w:w="1569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  <w:outlineLvl w:val="2"/>
            </w:pPr>
            <w:r>
              <w:rPr>
                <w:spacing w:val="-6"/>
                <w:sz w:val="20"/>
              </w:rPr>
              <w:t xml:space="preserve">1. Цель государственной программы: повышение эффект</w:t>
            </w:r>
            <w:r>
              <w:rPr>
                <w:spacing w:val="-6"/>
                <w:sz w:val="20"/>
              </w:rPr>
              <w:t xml:space="preserve">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ресурсноэкологического потенциала и глобальных функций лесов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О1. Общепрограммное мероприятие Региональный проект «Сохранение лесов»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GA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организации, выполняющие работы в рамках государственного задания, арендаторы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лесных участков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на всех участках вырубленных и по</w:t>
            </w:r>
            <w:r>
              <w:rPr>
                <w:spacing w:val="-6"/>
                <w:sz w:val="20"/>
              </w:rPr>
              <w:t xml:space="preserve">гибших лесных насаждений обеспечить проведение лесовосстановления и тем самым обеспечить в течение 2019–2023 гг. отношение площади лесовосстановления к площади вырубленных и погибших лесных насаждений на уровне не менее 100% за счет проведения мероприятий </w:t>
            </w:r>
            <w:r>
              <w:rPr>
                <w:spacing w:val="-6"/>
                <w:sz w:val="20"/>
              </w:rPr>
              <w:t xml:space="preserve">по лесовосстановлению, закупке лесопожарной и лесохозяйственной техники для государственных автономных учреждений Новосибирской области, выполняющих комплекс мероприятий по охране, защите и воспроизводству лесов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GA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ind w:hanging="42"/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117 676,5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77 489,4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214 622,4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179 655,6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63 797,9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24 164,3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58 084,9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43 688,0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57 931,5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44 120,8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  <w:outlineLvl w:val="3"/>
            </w:pPr>
            <w:r>
              <w:rPr>
                <w:spacing w:val="-6"/>
                <w:sz w:val="20"/>
              </w:rPr>
              <w:t xml:space="preserve">1.1. Задача 1 цели государстве</w:t>
            </w:r>
            <w:r>
              <w:rPr>
                <w:spacing w:val="-6"/>
                <w:sz w:val="20"/>
              </w:rPr>
              <w:t xml:space="preserve">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  <w:outlineLvl w:val="4"/>
            </w:pPr>
            <w:r>
              <w:rPr>
                <w:spacing w:val="-6"/>
                <w:sz w:val="20"/>
              </w:rPr>
              <w:t xml:space="preserve">1.1.1. Подпрограмма 1 государственной программы «Обеспечение использования, охраны, защиты и воспроизводства лесов»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  <w:outlineLvl w:val="5"/>
            </w:pPr>
            <w:r>
              <w:rPr>
                <w:spacing w:val="-6"/>
                <w:sz w:val="20"/>
              </w:rPr>
              <w:t xml:space="preserve">1.1.1.1. Цель </w:t>
            </w:r>
            <w:r>
              <w:rPr>
                <w:spacing w:val="-6"/>
                <w:sz w:val="20"/>
              </w:rPr>
              <w:t xml:space="preserve">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  <w:outlineLvl w:val="6"/>
            </w:pPr>
            <w:r>
              <w:rPr>
                <w:spacing w:val="-6"/>
                <w:sz w:val="20"/>
              </w:rPr>
              <w:t xml:space="preserve">1.1.1.1.1. Задача 1 цели подпрограммы 1 государственной программы: повышение эффективности предупреждения и сокращения потерь лесного хозяйства от пожаров и вредных организмов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1.1.1.1.1.1. Осуществление мер пожарной безопасности в лесах и защиты лесов от вредных организмов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58 640,0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31 545,4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31 602,9</w:t>
            </w:r>
            <w:r>
              <w:rPr>
                <w:color w:val="000000"/>
                <w:spacing w:val="-6"/>
                <w:sz w:val="20"/>
              </w:rPr>
            </w:r>
            <w:r>
              <w:rPr>
                <w:color w:val="000000"/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59 563,5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159 952,2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организации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обеспечить в период 2019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2023 гг. долю лесных пожаров, ликвидированных в течение первых суток с момента обнаружения, в общем количестве лесных пожаров на уровне не менее 99,95% (среднемноголетнее значение</w:t>
            </w:r>
            <w:r>
              <w:rPr>
                <w:spacing w:val="-6"/>
                <w:sz w:val="20"/>
              </w:rPr>
              <w:t xml:space="preserve">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2010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2014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88,16%,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2012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2016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95,67%,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2014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2018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99,94%,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2015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2019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100%,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2016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2020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99,94%,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2017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2021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98,26%,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2018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2022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97,28%,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2019–2023 гг. – 97,18%).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Обеспечит предотвращение распространения огня на территории земель лесного фонда. Позволит улучшить санитарное состояние лесов, уменьшить угрозу распространения вредных организмов и тем самым снизить к концу 2023 года долю площади погибших и </w:t>
            </w:r>
            <w:r>
              <w:rPr>
                <w:spacing w:val="-6"/>
                <w:sz w:val="20"/>
              </w:rPr>
              <w:t xml:space="preserve">поврежденных лесных насаждений с учетом проведенных мероприятий по защите леса в общей площади земель лесного фонда, занятых лесными насаждениями, до уровня 0,1%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66 829,0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64 336,1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57 452,3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145 524,1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183 261,0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127 566,70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128 531,8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120 728,4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108 531,2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25 899,9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  <w:outlineLvl w:val="6"/>
            </w:pPr>
            <w:r>
              <w:rPr>
                <w:spacing w:val="-6"/>
                <w:sz w:val="20"/>
              </w:rPr>
              <w:t xml:space="preserve">1.1.1.1.2. Задача 2 цели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1.1.1.1.2.1. Лесоустройство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9 500,0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913,2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организации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 результатам размещения государственного заказа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Получение актуальных материалов лесоустройства позволит осуществлять рациональное и неистощительное использование лесных ресурсов, развитие лесохозяйственной деятельности.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Планируется за счет федерального бюджета произвести таксацию лесов, включая подготовительные работы по таксации лесов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2 200,0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7 103,4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4 374,9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1.1.1.1.2.2. Осуществление мероприятий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 обеспечению использования лесов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Обеспечение подготовки лесос</w:t>
            </w:r>
            <w:r>
              <w:rPr>
                <w:spacing w:val="-6"/>
                <w:sz w:val="20"/>
              </w:rPr>
              <w:t xml:space="preserve">ечного фонда для использования в целях заготовки древесины при реализации договоров аренды, договоров купли-продажи лесных насаждений, а именно: проведение отвода лесосек позволит осуществлять лесозаготовительную деятельность в пределах расчетной лесосеки.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обеспечить к концу 2023 года долю объема заготовки древесины выборочными рубками в общем объеме заготовки древесины на уровне не ниже 72,61% (среднемноголетнее </w:t>
            </w:r>
            <w:r>
              <w:rPr>
                <w:spacing w:val="-6"/>
                <w:sz w:val="20"/>
              </w:rPr>
              <w:t xml:space="preserve">значение: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2010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2014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65%,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2012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2016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70,6%,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2014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2018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70,4%,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2015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2019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70,6%,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2016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2020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70,94%,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2017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2021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72,87%,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2018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2022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72,61%,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2019–2023 гг. – 72,47%).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Планируется обеспечить долю площади земель лесного фонда, переданных в пользование, в общей площади земель лесного фонда на территории Новосибирской области на уровне не мен</w:t>
            </w:r>
            <w:r>
              <w:rPr>
                <w:spacing w:val="-6"/>
                <w:sz w:val="20"/>
                <w:highlight w:val="white"/>
              </w:rPr>
              <w:t xml:space="preserve">ее 28,9% еж</w:t>
            </w:r>
            <w:r>
              <w:rPr>
                <w:spacing w:val="-6"/>
                <w:sz w:val="20"/>
              </w:rPr>
              <w:t xml:space="preserve">егодно.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определить доступность к лесным насаждениям и тем самым увеличить к концу 2023 года отношение фактического объема заготовки древесины к установленному объему изъятия древесины до уровня 24%. (среднемноголетнее значение: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2014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2018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20,1%,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2015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2019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20,3%,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2016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2020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20,0%,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2017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2021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20,7%,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2018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2022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20,2%,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2019–2023 гг. – 19,9%).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обеспечить проведение отводов лесосек на общей площади 150,9 тыс. га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408,3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13 393,0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trike/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trike/>
                <w:spacing w:val="-6"/>
                <w:sz w:val="20"/>
              </w:rPr>
            </w:r>
            <w:r>
              <w:rPr>
                <w:strike/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136 794,4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17 747,9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27 857,5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31 776,3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39 844,1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1.1.1.1.2.3. Выполнение мероприятий по охране, организации и функционированию </w:t>
            </w:r>
            <w:r>
              <w:rPr>
                <w:spacing w:val="-6"/>
                <w:sz w:val="20"/>
              </w:rPr>
              <w:t xml:space="preserve">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5 612,1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5 766,1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6 093,6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6 351,4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7 692,3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организации, выполняющие работы в рамках государственного </w:t>
            </w:r>
            <w:r>
              <w:rPr>
                <w:spacing w:val="-6"/>
                <w:sz w:val="20"/>
              </w:rPr>
              <w:t xml:space="preserve">задания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сохранить целостность уникального ландшафтного комплекса особо охраняемой природной территории регионального </w:t>
            </w:r>
            <w:r>
              <w:rPr>
                <w:spacing w:val="-6"/>
                <w:sz w:val="20"/>
              </w:rPr>
              <w:t xml:space="preserve">значения Новосибирской области – памятника природы областного значения «Дендрологический парк»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</w:t>
            </w:r>
            <w:r>
              <w:rPr>
                <w:spacing w:val="-6"/>
                <w:sz w:val="20"/>
              </w:rPr>
              <w:t xml:space="preserve">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1.1.1.1.2.4. Разработка проектной документации по проектированию (изменению) границ лесопарковых и зеленых зон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1 563,7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278,0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755,9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759,6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организации по результатам размещения государственного заказа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создать условия для создания оптимальной, максимально комфортной для проживания структуры территории города Новосибирска и территорий, прилегающих к городу Новосибирску районов Новосибирской области, сохранить лесопарковые и зеленые зоны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существующих объемах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23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1.1.1.1.2.5. Выполнение работ по оцифровке материалов лесоустройства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9 500,0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организации по результатам размещения государственного заказа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Материалы лесоустройства, хранящиеся</w:t>
            </w:r>
            <w:r>
              <w:rPr>
                <w:spacing w:val="-6"/>
                <w:sz w:val="20"/>
              </w:rPr>
              <w:t xml:space="preserve"> в бумажном виде (планы лесонасаждений, планшеты, таксационное описание), содержащиеся в Государственном лесном реестре, приведены в цифровой вид, создана и наполнена семантическая база данных сведений о лесах (количественные и качественные характеристики)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43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43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43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43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  <w:outlineLvl w:val="6"/>
            </w:pPr>
            <w:r>
              <w:rPr>
                <w:spacing w:val="-6"/>
                <w:sz w:val="20"/>
              </w:rPr>
              <w:t xml:space="preserve">1.1.1.1.3. 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1.1.1.1.3.1. Осуществление мероприятий по воспроизводству лесов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Обеспечение воспроизводства лесов семенами с улучшенными наследственными </w:t>
            </w:r>
            <w:r>
              <w:rPr>
                <w:spacing w:val="-6"/>
                <w:sz w:val="20"/>
              </w:rPr>
              <w:t xml:space="preserve">свойствами, повышающими продуктивность, качество и устойчивость насаждений, что позволит обеспечить к концу 2023 года долю семян с улучшенными наследственными свойствами в общем объеме заготовленных семян на уровне не ниже 12,6% (среднемноголетнее значение</w:t>
            </w:r>
            <w:r>
              <w:rPr>
                <w:spacing w:val="-6"/>
                <w:sz w:val="20"/>
              </w:rPr>
              <w:t xml:space="preserve">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widowControl w:val="off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2010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2014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26,7%,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widowControl w:val="off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2012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2016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20,4%,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widowControl w:val="off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2014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2018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19,7%,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widowControl w:val="off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2015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2019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12,8%,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widowControl w:val="off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2016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2020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12,5%,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widowControl w:val="off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2017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2021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8,96%,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2018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2022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10,6%,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2019–2023 гг. – 13,34%.).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обеспечить своевременное восстановление вырубок, гарей, повысить продуктивность лесов, улучшить их породный состав и тем самым сохранить к концу 2023 года лесистость территории Новосибирской области на уровне 27,8%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13 568,5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269 185,6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233 849,7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237 529,3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238 839,6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262 707,4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Итого по подпрограмме 1 государственной программы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65 815,8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37 311,5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47 474,5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67 584,0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177 904,1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х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83 005,8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84 832,5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61 827,2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145 524,1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183 261,0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533 546,7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380 129,4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386 115,2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379 147,1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328 451,4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  <w:outlineLvl w:val="3"/>
            </w:pPr>
            <w:r>
              <w:rPr>
                <w:spacing w:val="-6"/>
                <w:sz w:val="20"/>
              </w:rPr>
              <w:t xml:space="preserve">1.2. Задача 2 цели государственной программы: повышение эффективности управления лесами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  <w:outlineLvl w:val="4"/>
            </w:pPr>
            <w:r>
              <w:rPr>
                <w:spacing w:val="-6"/>
                <w:sz w:val="20"/>
              </w:rPr>
              <w:t xml:space="preserve">1.2.2. Подпрограмма 2 государственной программы «Обеспечение реализации государственной программы Новосибирской области «Развитие лесного хозяйства Новосибирской области»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  <w:outlineLvl w:val="5"/>
            </w:pPr>
            <w:r>
              <w:rPr>
                <w:spacing w:val="-6"/>
                <w:sz w:val="20"/>
              </w:rPr>
              <w:t xml:space="preserve">1.2.2.1. Цель подпрограммы 2 государственной программы: повышение эффективности управления лесами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Mar>
              <w:left w:w="57" w:type="dxa"/>
              <w:top w:w="0" w:type="dxa"/>
              <w:right w:w="57" w:type="dxa"/>
              <w:bottom w:w="0" w:type="dxa"/>
            </w:tcMar>
            <w:tcW w:w="1569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  <w:outlineLvl w:val="6"/>
            </w:pPr>
            <w:r>
              <w:rPr>
                <w:spacing w:val="-6"/>
                <w:sz w:val="20"/>
              </w:rPr>
              <w:t xml:space="preserve">1.2.2.1.1. Задача 1 цели подпрограммы 2 государственной программы: обеспечение соблюдения требований законодательства в сфере лесных отношений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1.2.2.1.1.1. Обеспечение исполнения переданных полномочий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5"/>
            <w:tcMar>
              <w:left w:w="57" w:type="dxa"/>
              <w:top w:w="28" w:type="dxa"/>
              <w:right w:w="57" w:type="dxa"/>
              <w:bottom w:w="28" w:type="dxa"/>
            </w:tcMar>
            <w:tcW w:w="566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Мероприятие осуществляется в рамках текущей деятельности МПР НСО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обеспечить к концу 2023 года объем платежей в бюджетную систему Российской Федерации от использования лесов, расположенных на землях лесного фонда, увеличить до уровня 58,</w:t>
            </w:r>
            <w:r>
              <w:rPr>
                <w:spacing w:val="-6"/>
                <w:sz w:val="20"/>
                <w:highlight w:val="white"/>
              </w:rPr>
              <w:t xml:space="preserve">7% </w:t>
            </w:r>
            <w:r>
              <w:rPr>
                <w:spacing w:val="-6"/>
                <w:sz w:val="20"/>
              </w:rPr>
              <w:t xml:space="preserve">руб. на 1 га земель лесного фонда Новосибирской области (среднемноголетнее значение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2010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2014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21 руб./га,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2014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2018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28,4 руб./га,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2015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2019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33,5 руб./га,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2016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2020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38,8 руб./га,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2017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2021 гг.</w:t>
            </w:r>
            <w:r>
              <w:rPr>
                <w:spacing w:val="-6"/>
                <w:sz w:val="20"/>
              </w:rPr>
              <w:t xml:space="preserve"> – </w:t>
            </w:r>
            <w:r>
              <w:rPr>
                <w:spacing w:val="-6"/>
                <w:sz w:val="20"/>
              </w:rPr>
              <w:t xml:space="preserve">44,4 руб./га,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за 2018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2022 гг. - 48,88 руб./га,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bCs/>
                <w:sz w:val="20"/>
              </w:rPr>
              <w:t xml:space="preserve">за 2019–2023 гг. – 51,0%</w:t>
            </w:r>
            <w:r>
              <w:rPr>
                <w:spacing w:val="-6"/>
                <w:sz w:val="20"/>
              </w:rPr>
              <w:t xml:space="preserve"> руб./га.); обеспечить в период 2020</w:t>
            </w:r>
            <w:r>
              <w:rPr>
                <w:spacing w:val="-6"/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2023 гг. динамику предотвращения возникновения нарушений лесного законодательства, причиняющих вред лесам, относительно уровня нарушений предыдущего года на уровне не ниже 3% ежегодно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5666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5666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5666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5666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1.2.2.1.1.2.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Осуществление мер по выявлению нарушений лесного законодательства, незаконной заготовки и оборота древесины на территории Новосибирской области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40 365,0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26 890,0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38 115,0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ГУ МВД России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 Новосибирской области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Формирование резерва автомобильной техники и последующая передача ее в безвозмездное пользование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ГУ МВД России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 Новосибирской области позволит осуществлять: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совместные проверки соблюдения лесного законодательства;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совместные мероприятия при осуществлении доследственных проверок при производстве по уголовным делам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и по делам об административных правонарушениях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3"/>
            <w:tcW w:w="1569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  <w:outlineLvl w:val="6"/>
            </w:pPr>
            <w:r>
              <w:rPr>
                <w:spacing w:val="-6"/>
                <w:sz w:val="20"/>
              </w:rPr>
              <w:t xml:space="preserve">1.2.2.1.2. Задача 2 цели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1.2.2.1.2.1. 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основного общего образования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37 965,0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ГБПОУ НСО «ТЛТ»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Предоставление среднего профессионального образования ГБПОУ НСО «ТЛТ» позволит сохранить в 2019 году долю обучающихся, успешн</w:t>
            </w:r>
            <w:r>
              <w:rPr>
                <w:spacing w:val="-6"/>
                <w:sz w:val="20"/>
              </w:rPr>
              <w:t xml:space="preserve">о прошедших государственную (итоговую) аттестацию, на уровне 99% (от общего количества обучающихся); сохранить в 2019 году отношение средней заработной платы преподавателей и мастеров производственного обучения в ГБПОУ НСО «ТЛТ» к средней заработной плате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 Новосибирской области на уровне 100%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1.2.2.1.2.2. Подготовка, переподготовка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и повышение квалификации кадров лесного хозяйства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МПР НСО,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ГУП НСО – лесхозы,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ГАУ НСО – лесхозы,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АО – лесхозы, 100% акций которых принадлежат Новосибирской области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keepNext/>
              <w:spacing w:before="0" w:after="0"/>
              <w:widowControl w:val="off"/>
              <w:rPr>
                <w:i/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Позволит обеспечить к концу 2023</w:t>
            </w:r>
            <w:r>
              <w:rPr>
                <w:spacing w:val="-6"/>
                <w:sz w:val="20"/>
              </w:rPr>
              <w:t xml:space="preserve"> года долю специалистов лесного хозяйства, прошедших повышение квалификации, в общей численности работников лесного хозяйства на уровне 10%; увеличить прирост производительности труда к предыдущему году в лесном секторе Новосибирской области на 2% ежегодно</w:t>
            </w:r>
            <w:r>
              <w:rPr>
                <w:i/>
                <w:spacing w:val="-6"/>
                <w:sz w:val="20"/>
              </w:rPr>
            </w:r>
            <w:r>
              <w:rPr>
                <w:i/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800,0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850,0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900,0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Итого по подпрограмме 2 государственной программы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37 965,0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40 365,0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26 890,0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38 115,0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800,0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850,0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900,0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Итого по государственной программе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103 780,8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37 311,5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87 839,5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94 474,0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216  019,1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6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федеральный бюджет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200 682,3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162 321,9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276 449,6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325 179,7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247 058,9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местные бюджеты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внебюджетные источники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557 711,0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438 214,3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430 603,2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437 928,6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373 472,2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982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налоговые расходы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x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700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63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</w:tbl>
    <w:p>
      <w:pPr>
        <w:spacing w:before="0" w:after="0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Применяемые сокращения: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АО – акционерные общества;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ГАУ НСО – государственные автономные учреждения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ГБПОУ НСО «ТЛТ» – государственное бюджетное профессиональное образовательное учреждение Новосибирской области «Тогучинский лесхоз-техникум»;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 МВД России по Новосибирской области – Главное управление Министерства внутренних дел Российской Федерации по 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ГУП НСО – государственные унитарные предприятия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МПР НСО – министерство природных ресурсов и экологии Новосибирской области.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  <w:szCs w:val="20"/>
        </w:rPr>
        <w:sectPr>
          <w:footnotePr/>
          <w:endnotePr/>
          <w:type w:val="nextPage"/>
          <w:pgSz w:w="16834" w:h="11909" w:orient="landscape"/>
          <w:pgMar w:top="1418" w:right="1134" w:bottom="567" w:left="1134" w:header="709" w:footer="709" w:gutter="0"/>
          <w:cols w:num="1" w:sep="0" w:space="60" w:equalWidth="1"/>
          <w:docGrid w:linePitch="360"/>
          <w:titlePg/>
        </w:sect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ПРИЛОЖЕНИЕ № 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от 29.03.2024  № 146-п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«ПРИЛОЖЕНИЕ № 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программе Новосибирской области «Развитие лесного хозяйства»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/>
      <w:bookmarkStart w:id="0" w:name="undefined"/>
      <w:r/>
      <w:bookmarkEnd w:id="0"/>
      <w:r>
        <w:rPr>
          <w:b/>
          <w:sz w:val="28"/>
          <w:szCs w:val="28"/>
        </w:rPr>
        <w:t xml:space="preserve">СВОДНЫЕ ФИНАНСОВЫЕ ЗАТРАТЫ И НАЛОГОВЫЕ РАСХОДЫ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программы Новосибирской области «Развитие лесного хозяйства Новосибирской области»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66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1275"/>
        <w:gridCol w:w="1212"/>
        <w:gridCol w:w="1212"/>
        <w:gridCol w:w="1212"/>
        <w:gridCol w:w="1212"/>
        <w:gridCol w:w="1212"/>
        <w:gridCol w:w="1212"/>
        <w:gridCol w:w="1212"/>
        <w:gridCol w:w="1212"/>
        <w:gridCol w:w="1212"/>
        <w:gridCol w:w="1105"/>
      </w:tblGrid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Источники и направления расходов в разрезе государственных заказчиков государственной программы (главных распорядителей бюджетных средств)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10"/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89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Ресурсное обеспечение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Примечание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9"/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09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 годам реализации, тыс. руб.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2015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2016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2017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2018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2019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2020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gridSpan w:val="12"/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57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финансовых затрат,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7 688 973,9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964 786,2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934 841,9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981 885,8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819 352,3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862 174,1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637 847,7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794 892,3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857 582,3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836 550,2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2 083 343,4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242 644,9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290 749,6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256 111,4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82 145,1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200 682,3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162 321,9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276 449,6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325 179,7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247 058,9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778 006,0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45131,0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42 075,1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79 620,9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72 693,0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103 780,8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37 311,5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87 839,5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94 474,0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216 019,1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4 827 624,5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677 010,3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602 017,2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646 153,5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664 514,2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557 711,0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438 214,3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430 603,2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437 928,6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373 472,2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Капитальные вложения,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347 826,1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176 508,9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172 096,5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140 658,7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124 618,9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16 039,8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207 167,4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51 890,0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156 056,7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НИОКР**,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федерального бюджета*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областного бюджета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местных бюджетов*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224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внебюджетных источников*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Прочие расходы,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7 341 147,8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964 786,2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934 841,9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981 885,8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819 352,3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862 174,1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637 847,7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794 892,3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681 073,4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664 453,7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1 942 684,7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242 644,9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290 749,6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256 111,4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82 145,1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200 682,3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162 321,9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276 449,6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200 560,8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231 019,1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570 838,6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45 131,0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42 075,1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79 620,9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72 693,0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103 780,8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37 311,5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87 839,5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42 584,0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59 962,4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4 827 624,5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677 010,3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602 017,2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646 153,5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664 514,2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557 711,0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438 214,3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430 603,2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437 928,6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373 472,2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налоговых расходов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</w:trPr>
        <w:tc>
          <w:tcPr>
            <w:gridSpan w:val="12"/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57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по государственной программе: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финансовых затрат,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7 688 973,9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964 786,2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934 841,9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981 885,8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819 352,3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862 174,1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637 847,7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794 892,3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857 582,3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836 550,2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2 083 343,4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242 644,9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290 749,6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256 111,4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82 145,1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200 682,3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162 321,9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276 449,6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325 179,7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247 058,9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778 006,0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45131,0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42 075,1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79 620,9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72 693,0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103 780,8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37 311,5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87 839,5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94 474,0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216 019,1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4 827 624,5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677 010,3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602 017,2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646 153,5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664 514,2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557 711,0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438 214,3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430 603,2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437 928,6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373 472,2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Капитальные вложения,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347 826,1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176 508,9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172 096,5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140 658,7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124 618,9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16 039,8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207 167,4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51 890,0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156 056,7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НИОКР**,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Прочие расходы,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7 341 147,8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964 786,2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934 841,9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981 885,8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819 352,3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862 174,1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637 847,7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794 892,3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681 073,4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664 453,7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1 942 684,7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242 644,9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290 749,6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256 111,4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82 145,1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200 682,3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162 321,9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276 449,6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200 560,8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231 019,1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570 838,6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45 131,0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42 075,1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79 620,9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72 693,0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103 780,8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37 311,5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87 839,5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42 584,0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59 962,4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4 827 624,5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677 010,3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602 017,2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646 153,5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664 514,2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557 711,0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438 214,3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430 603,2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437 928,6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373 472,2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налоговых расходов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*Указываются прогнозные объемы.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**Научно-исследовательские и опытно-конструкторские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/>
      <w:r/>
    </w:p>
    <w:sectPr>
      <w:footnotePr/>
      <w:endnotePr/>
      <w:type w:val="oddPage"/>
      <w:pgSz w:w="16834" w:h="11909" w:orient="landscape"/>
      <w:pgMar w:top="1418" w:right="1134" w:bottom="567" w:left="1134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sz w:val="16"/>
        <w:szCs w:val="16"/>
      </w:rPr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П/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9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57930</w:t>
    </w:r>
    <w:r>
      <w:rPr>
        <w:sz w:val="16"/>
        <w:szCs w:val="16"/>
      </w:rPr>
      <w:t xml:space="preserve">/</w:t>
    </w:r>
    <w:sdt>
      <w:sdtPr>
        <w15:appearance w15:val="boundingBox"/>
        <w:id w:val="-440762071"/>
        <w:placeholder>
          <w:docPart w:val="DefaultPlaceholder_-1854013438"/>
        </w:placeholder>
        <w:date w:fullDate="2024-03-27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27.03.2024</w:t>
        </w:r>
      </w:sdtContent>
    </w:sdt>
    <w:r/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72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6"/>
    <w:uiPriority w:val="34"/>
    <w:qFormat/>
    <w:pPr>
      <w:contextualSpacing/>
      <w:ind w:left="720"/>
    </w:pPr>
  </w:style>
  <w:style w:type="character" w:styleId="35">
    <w:name w:val="Title Char"/>
    <w:basedOn w:val="706"/>
    <w:link w:val="744"/>
    <w:uiPriority w:val="10"/>
    <w:rPr>
      <w:sz w:val="48"/>
      <w:szCs w:val="48"/>
    </w:rPr>
  </w:style>
  <w:style w:type="character" w:styleId="37">
    <w:name w:val="Subtitle Char"/>
    <w:basedOn w:val="706"/>
    <w:link w:val="777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22"/>
    <w:uiPriority w:val="99"/>
  </w:style>
  <w:style w:type="character" w:styleId="45">
    <w:name w:val="Footer Char"/>
    <w:basedOn w:val="706"/>
    <w:link w:val="72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4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7"/>
    <w:uiPriority w:val="99"/>
    <w:rPr>
      <w:sz w:val="18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qFormat/>
    <w:pPr>
      <w:spacing w:before="100" w:after="100"/>
    </w:pPr>
    <w:rPr>
      <w:sz w:val="24"/>
    </w:rPr>
  </w:style>
  <w:style w:type="paragraph" w:styleId="697">
    <w:name w:val="Heading 1"/>
    <w:basedOn w:val="696"/>
    <w:next w:val="696"/>
    <w:link w:val="70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8">
    <w:name w:val="Heading 2"/>
    <w:basedOn w:val="696"/>
    <w:next w:val="696"/>
    <w:link w:val="71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9">
    <w:name w:val="Heading 3"/>
    <w:basedOn w:val="696"/>
    <w:next w:val="696"/>
    <w:link w:val="71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00">
    <w:name w:val="Heading 4"/>
    <w:basedOn w:val="696"/>
    <w:next w:val="696"/>
    <w:link w:val="71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1">
    <w:name w:val="Heading 5"/>
    <w:basedOn w:val="696"/>
    <w:next w:val="696"/>
    <w:link w:val="71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02">
    <w:name w:val="Heading 6"/>
    <w:basedOn w:val="696"/>
    <w:next w:val="696"/>
    <w:link w:val="71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3">
    <w:name w:val="Heading 7"/>
    <w:basedOn w:val="696"/>
    <w:next w:val="696"/>
    <w:link w:val="71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04">
    <w:name w:val="Heading 8"/>
    <w:basedOn w:val="696"/>
    <w:next w:val="696"/>
    <w:link w:val="71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5">
    <w:name w:val="Heading 9"/>
    <w:basedOn w:val="696"/>
    <w:next w:val="696"/>
    <w:link w:val="71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9"/>
    <w:rPr>
      <w:rFonts w:ascii="Cambria" w:hAnsi="Cambria" w:cs="Times New Roman"/>
      <w:b/>
      <w:sz w:val="32"/>
    </w:rPr>
  </w:style>
  <w:style w:type="character" w:styleId="710" w:customStyle="1">
    <w:name w:val="Заголовок 2 Знак"/>
    <w:basedOn w:val="706"/>
    <w:link w:val="698"/>
    <w:uiPriority w:val="99"/>
    <w:semiHidden/>
    <w:rPr>
      <w:rFonts w:ascii="Cambria" w:hAnsi="Cambria" w:cs="Times New Roman"/>
      <w:b/>
      <w:i/>
      <w:sz w:val="28"/>
    </w:rPr>
  </w:style>
  <w:style w:type="character" w:styleId="711" w:customStyle="1">
    <w:name w:val="Заголовок 3 Знак"/>
    <w:basedOn w:val="706"/>
    <w:link w:val="699"/>
    <w:uiPriority w:val="99"/>
    <w:semiHidden/>
    <w:rPr>
      <w:rFonts w:ascii="Cambria" w:hAnsi="Cambria" w:cs="Times New Roman"/>
      <w:b/>
      <w:sz w:val="26"/>
    </w:rPr>
  </w:style>
  <w:style w:type="character" w:styleId="712" w:customStyle="1">
    <w:name w:val="Заголовок 4 Знак"/>
    <w:basedOn w:val="706"/>
    <w:link w:val="700"/>
    <w:uiPriority w:val="99"/>
    <w:semiHidden/>
    <w:rPr>
      <w:rFonts w:ascii="Calibri" w:hAnsi="Calibri" w:cs="Times New Roman"/>
      <w:b/>
      <w:sz w:val="28"/>
    </w:rPr>
  </w:style>
  <w:style w:type="character" w:styleId="713" w:customStyle="1">
    <w:name w:val="Заголовок 5 Знак"/>
    <w:basedOn w:val="706"/>
    <w:link w:val="701"/>
    <w:uiPriority w:val="99"/>
    <w:semiHidden/>
    <w:rPr>
      <w:rFonts w:ascii="Calibri" w:hAnsi="Calibri" w:cs="Times New Roman"/>
      <w:b/>
      <w:i/>
      <w:sz w:val="26"/>
    </w:rPr>
  </w:style>
  <w:style w:type="character" w:styleId="714" w:customStyle="1">
    <w:name w:val="Заголовок 6 Знак"/>
    <w:basedOn w:val="706"/>
    <w:link w:val="702"/>
    <w:uiPriority w:val="99"/>
    <w:semiHidden/>
    <w:rPr>
      <w:rFonts w:ascii="Calibri" w:hAnsi="Calibri" w:cs="Times New Roman"/>
      <w:b/>
    </w:rPr>
  </w:style>
  <w:style w:type="character" w:styleId="715" w:customStyle="1">
    <w:name w:val="Заголовок 7 Знак"/>
    <w:basedOn w:val="706"/>
    <w:link w:val="703"/>
    <w:uiPriority w:val="99"/>
    <w:semiHidden/>
    <w:rPr>
      <w:rFonts w:ascii="Calibri" w:hAnsi="Calibri" w:cs="Times New Roman"/>
      <w:sz w:val="24"/>
    </w:rPr>
  </w:style>
  <w:style w:type="character" w:styleId="716" w:customStyle="1">
    <w:name w:val="Заголовок 8 Знак"/>
    <w:basedOn w:val="706"/>
    <w:link w:val="704"/>
    <w:uiPriority w:val="99"/>
    <w:semiHidden/>
    <w:rPr>
      <w:rFonts w:ascii="Calibri" w:hAnsi="Calibri" w:cs="Times New Roman"/>
      <w:i/>
      <w:sz w:val="24"/>
    </w:rPr>
  </w:style>
  <w:style w:type="character" w:styleId="717" w:customStyle="1">
    <w:name w:val="Заголовок 9 Знак"/>
    <w:basedOn w:val="706"/>
    <w:link w:val="705"/>
    <w:uiPriority w:val="99"/>
    <w:semiHidden/>
    <w:rPr>
      <w:rFonts w:ascii="Cambria" w:hAnsi="Cambria" w:cs="Times New Roman"/>
    </w:rPr>
  </w:style>
  <w:style w:type="paragraph" w:styleId="718">
    <w:name w:val="Balloon Text"/>
    <w:basedOn w:val="696"/>
    <w:link w:val="71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19" w:customStyle="1">
    <w:name w:val="Текст выноски Знак"/>
    <w:basedOn w:val="706"/>
    <w:link w:val="718"/>
    <w:uiPriority w:val="99"/>
    <w:semiHidden/>
    <w:rPr>
      <w:rFonts w:ascii="Tahoma" w:hAnsi="Tahoma" w:cs="Times New Roman"/>
      <w:sz w:val="16"/>
    </w:rPr>
  </w:style>
  <w:style w:type="paragraph" w:styleId="720">
    <w:name w:val="Body Text"/>
    <w:basedOn w:val="696"/>
    <w:link w:val="721"/>
    <w:uiPriority w:val="99"/>
    <w:pPr>
      <w:jc w:val="both"/>
      <w:spacing w:before="0" w:after="0"/>
    </w:pPr>
    <w:rPr>
      <w:sz w:val="28"/>
      <w:szCs w:val="28"/>
    </w:rPr>
  </w:style>
  <w:style w:type="character" w:styleId="721" w:customStyle="1">
    <w:name w:val="Основной текст Знак"/>
    <w:basedOn w:val="706"/>
    <w:link w:val="720"/>
    <w:uiPriority w:val="99"/>
    <w:rPr>
      <w:rFonts w:cs="Times New Roman"/>
      <w:sz w:val="20"/>
    </w:rPr>
  </w:style>
  <w:style w:type="paragraph" w:styleId="722">
    <w:name w:val="Header"/>
    <w:basedOn w:val="696"/>
    <w:link w:val="72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23" w:customStyle="1">
    <w:name w:val="Верхний колонтитул Знак"/>
    <w:basedOn w:val="706"/>
    <w:link w:val="722"/>
    <w:uiPriority w:val="99"/>
    <w:rPr>
      <w:rFonts w:cs="Times New Roman"/>
      <w:sz w:val="28"/>
      <w:lang w:val="ru-RU" w:eastAsia="ru-RU"/>
    </w:rPr>
  </w:style>
  <w:style w:type="paragraph" w:styleId="724">
    <w:name w:val="Footer"/>
    <w:basedOn w:val="696"/>
    <w:link w:val="72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25" w:customStyle="1">
    <w:name w:val="Нижний колонтитул Знак"/>
    <w:basedOn w:val="706"/>
    <w:link w:val="724"/>
    <w:uiPriority w:val="99"/>
    <w:rPr>
      <w:rFonts w:cs="Times New Roman"/>
      <w:sz w:val="28"/>
      <w:lang w:val="ru-RU" w:eastAsia="ru-RU"/>
    </w:rPr>
  </w:style>
  <w:style w:type="paragraph" w:styleId="726">
    <w:name w:val="Body Text 2"/>
    <w:basedOn w:val="696"/>
    <w:link w:val="727"/>
    <w:uiPriority w:val="99"/>
    <w:pPr>
      <w:jc w:val="center"/>
      <w:spacing w:before="0" w:after="0"/>
    </w:pPr>
    <w:rPr>
      <w:sz w:val="28"/>
      <w:szCs w:val="28"/>
    </w:rPr>
  </w:style>
  <w:style w:type="character" w:styleId="727" w:customStyle="1">
    <w:name w:val="Основной текст 2 Знак"/>
    <w:basedOn w:val="706"/>
    <w:link w:val="726"/>
    <w:uiPriority w:val="99"/>
    <w:semiHidden/>
    <w:rPr>
      <w:rFonts w:cs="Times New Roman"/>
      <w:sz w:val="20"/>
    </w:rPr>
  </w:style>
  <w:style w:type="paragraph" w:styleId="728">
    <w:name w:val="Body Text Indent 2"/>
    <w:basedOn w:val="696"/>
    <w:link w:val="72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29" w:customStyle="1">
    <w:name w:val="Основной текст с отступом 2 Знак"/>
    <w:basedOn w:val="706"/>
    <w:link w:val="728"/>
    <w:uiPriority w:val="99"/>
    <w:semiHidden/>
    <w:rPr>
      <w:rFonts w:cs="Times New Roman"/>
      <w:sz w:val="20"/>
    </w:rPr>
  </w:style>
  <w:style w:type="character" w:styleId="730">
    <w:name w:val="page number"/>
    <w:basedOn w:val="706"/>
    <w:uiPriority w:val="99"/>
    <w:rPr>
      <w:rFonts w:cs="Times New Roman"/>
    </w:rPr>
  </w:style>
  <w:style w:type="paragraph" w:styleId="731">
    <w:name w:val="Body Text Indent 3"/>
    <w:basedOn w:val="696"/>
    <w:link w:val="73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32" w:customStyle="1">
    <w:name w:val="Основной текст с отступом 3 Знак"/>
    <w:basedOn w:val="706"/>
    <w:link w:val="731"/>
    <w:uiPriority w:val="99"/>
    <w:semiHidden/>
    <w:rPr>
      <w:rFonts w:cs="Times New Roman"/>
      <w:sz w:val="16"/>
    </w:rPr>
  </w:style>
  <w:style w:type="paragraph" w:styleId="733" w:customStyle="1">
    <w:name w:val="ConsNormal"/>
    <w:pPr>
      <w:ind w:firstLine="720"/>
    </w:pPr>
    <w:rPr>
      <w:rFonts w:ascii="Arial" w:hAnsi="Arial" w:cs="Arial"/>
    </w:rPr>
  </w:style>
  <w:style w:type="paragraph" w:styleId="734" w:customStyle="1">
    <w:name w:val="ConsNonformat"/>
    <w:rPr>
      <w:rFonts w:ascii="Courier New" w:hAnsi="Courier New" w:cs="Courier New"/>
    </w:rPr>
  </w:style>
  <w:style w:type="paragraph" w:styleId="735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736">
    <w:name w:val="Body Text 3"/>
    <w:basedOn w:val="696"/>
    <w:link w:val="737"/>
    <w:uiPriority w:val="99"/>
    <w:pPr>
      <w:jc w:val="both"/>
      <w:spacing w:before="0" w:after="0"/>
      <w:widowControl w:val="off"/>
    </w:pPr>
    <w:rPr>
      <w:szCs w:val="24"/>
    </w:rPr>
  </w:style>
  <w:style w:type="character" w:styleId="737" w:customStyle="1">
    <w:name w:val="Основной текст 3 Знак"/>
    <w:basedOn w:val="706"/>
    <w:link w:val="736"/>
    <w:uiPriority w:val="99"/>
    <w:semiHidden/>
    <w:rPr>
      <w:rFonts w:cs="Times New Roman"/>
      <w:sz w:val="16"/>
    </w:rPr>
  </w:style>
  <w:style w:type="paragraph" w:styleId="738" w:customStyle="1">
    <w:name w:val="Заголовок4"/>
    <w:basedOn w:val="697"/>
    <w:next w:val="701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9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740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41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42">
    <w:name w:val="Normal (Web)"/>
    <w:basedOn w:val="696"/>
    <w:uiPriority w:val="99"/>
    <w:pPr>
      <w:spacing w:beforeAutospacing="1" w:afterAutospacing="1"/>
    </w:pPr>
    <w:rPr>
      <w:color w:val="000000"/>
      <w:szCs w:val="24"/>
    </w:rPr>
  </w:style>
  <w:style w:type="paragraph" w:styleId="743" w:customStyle="1">
    <w:name w:val="ConsPlusTitle"/>
    <w:rPr>
      <w:b/>
      <w:bCs/>
      <w:sz w:val="28"/>
      <w:szCs w:val="28"/>
    </w:rPr>
  </w:style>
  <w:style w:type="paragraph" w:styleId="744">
    <w:name w:val="Title"/>
    <w:basedOn w:val="696"/>
    <w:link w:val="745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45" w:customStyle="1">
    <w:name w:val="Заголовок Знак"/>
    <w:basedOn w:val="706"/>
    <w:link w:val="744"/>
    <w:uiPriority w:val="99"/>
    <w:rPr>
      <w:rFonts w:ascii="Cambria" w:hAnsi="Cambria" w:cs="Times New Roman"/>
      <w:b/>
      <w:sz w:val="32"/>
    </w:rPr>
  </w:style>
  <w:style w:type="paragraph" w:styleId="746" w:customStyle="1">
    <w:name w:val="Термин"/>
    <w:basedOn w:val="696"/>
    <w:next w:val="696"/>
    <w:uiPriority w:val="99"/>
    <w:pPr>
      <w:spacing w:before="0" w:after="0"/>
    </w:pPr>
    <w:rPr>
      <w:szCs w:val="24"/>
      <w:lang w:val="pl-PL"/>
    </w:rPr>
  </w:style>
  <w:style w:type="paragraph" w:styleId="747" w:customStyle="1">
    <w:name w:val="H1"/>
    <w:basedOn w:val="696"/>
    <w:next w:val="696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48" w:customStyle="1">
    <w:name w:val="Список определений"/>
    <w:basedOn w:val="696"/>
    <w:next w:val="746"/>
    <w:uiPriority w:val="99"/>
    <w:pPr>
      <w:ind w:left="360"/>
      <w:spacing w:before="0" w:after="0"/>
    </w:pPr>
    <w:rPr>
      <w:szCs w:val="24"/>
      <w:lang w:val="pl-PL"/>
    </w:rPr>
  </w:style>
  <w:style w:type="paragraph" w:styleId="749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50" w:customStyle="1">
    <w:name w:val="Preformat"/>
    <w:uiPriority w:val="99"/>
    <w:rPr>
      <w:rFonts w:ascii="Courier New" w:hAnsi="Courier New" w:cs="Courier New"/>
    </w:rPr>
  </w:style>
  <w:style w:type="paragraph" w:styleId="751">
    <w:name w:val="Block Text"/>
    <w:basedOn w:val="696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52" w:customStyle="1">
    <w:name w:val="Цветовое выделение"/>
    <w:uiPriority w:val="99"/>
    <w:rPr>
      <w:b/>
      <w:color w:val="000080"/>
      <w:sz w:val="20"/>
    </w:rPr>
  </w:style>
  <w:style w:type="character" w:styleId="753" w:customStyle="1">
    <w:name w:val="Не вступил в силу"/>
    <w:uiPriority w:val="99"/>
    <w:rPr>
      <w:color w:val="008080"/>
      <w:sz w:val="20"/>
    </w:rPr>
  </w:style>
  <w:style w:type="paragraph" w:styleId="754" w:customStyle="1">
    <w:name w:val="Таблицы (моноширинный)"/>
    <w:basedOn w:val="696"/>
    <w:next w:val="696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55">
    <w:name w:val="Plain Text"/>
    <w:basedOn w:val="696"/>
    <w:link w:val="75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56" w:customStyle="1">
    <w:name w:val="Текст Знак"/>
    <w:basedOn w:val="706"/>
    <w:link w:val="755"/>
    <w:uiPriority w:val="99"/>
    <w:semiHidden/>
    <w:rPr>
      <w:rFonts w:ascii="Courier New" w:hAnsi="Courier New" w:cs="Times New Roman"/>
      <w:sz w:val="20"/>
    </w:rPr>
  </w:style>
  <w:style w:type="paragraph" w:styleId="757">
    <w:name w:val="footnote text"/>
    <w:basedOn w:val="696"/>
    <w:link w:val="758"/>
    <w:uiPriority w:val="99"/>
    <w:semiHidden/>
    <w:pPr>
      <w:spacing w:before="0" w:after="0"/>
    </w:pPr>
    <w:rPr>
      <w:sz w:val="20"/>
    </w:rPr>
  </w:style>
  <w:style w:type="character" w:styleId="758" w:customStyle="1">
    <w:name w:val="Текст сноски Знак"/>
    <w:basedOn w:val="706"/>
    <w:link w:val="757"/>
    <w:uiPriority w:val="99"/>
    <w:semiHidden/>
    <w:rPr>
      <w:rFonts w:cs="Times New Roman"/>
      <w:sz w:val="20"/>
    </w:rPr>
  </w:style>
  <w:style w:type="paragraph" w:styleId="759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60" w:customStyle="1">
    <w:name w:val="Основной шрифт абзаца1"/>
    <w:uiPriority w:val="99"/>
    <w:rPr>
      <w:sz w:val="20"/>
    </w:rPr>
  </w:style>
  <w:style w:type="paragraph" w:styleId="761" w:customStyle="1">
    <w:name w:val="Îñíîâíîé òåêñò"/>
    <w:basedOn w:val="762"/>
    <w:uiPriority w:val="99"/>
    <w:rPr>
      <w:sz w:val="28"/>
      <w:szCs w:val="28"/>
    </w:rPr>
  </w:style>
  <w:style w:type="paragraph" w:styleId="762" w:customStyle="1">
    <w:name w:val="Îáû÷íûé"/>
    <w:uiPriority w:val="99"/>
    <w:rPr>
      <w:lang w:eastAsia="ar-SA"/>
    </w:rPr>
  </w:style>
  <w:style w:type="character" w:styleId="76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64">
    <w:name w:val="Body Text Indent"/>
    <w:basedOn w:val="696"/>
    <w:link w:val="765"/>
    <w:uiPriority w:val="99"/>
    <w:pPr>
      <w:ind w:left="283"/>
      <w:spacing w:before="0" w:after="120"/>
    </w:pPr>
    <w:rPr>
      <w:sz w:val="28"/>
      <w:szCs w:val="28"/>
    </w:rPr>
  </w:style>
  <w:style w:type="character" w:styleId="765" w:customStyle="1">
    <w:name w:val="Основной текст с отступом Знак"/>
    <w:basedOn w:val="706"/>
    <w:link w:val="764"/>
    <w:uiPriority w:val="99"/>
    <w:semiHidden/>
    <w:rPr>
      <w:rFonts w:cs="Times New Roman"/>
      <w:sz w:val="20"/>
    </w:rPr>
  </w:style>
  <w:style w:type="table" w:styleId="766">
    <w:name w:val="Table Grid"/>
    <w:basedOn w:val="70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7">
    <w:name w:val="footnote reference"/>
    <w:basedOn w:val="706"/>
    <w:uiPriority w:val="99"/>
    <w:semiHidden/>
    <w:rPr>
      <w:rFonts w:cs="Times New Roman"/>
      <w:vertAlign w:val="superscript"/>
    </w:rPr>
  </w:style>
  <w:style w:type="paragraph" w:styleId="768" w:customStyle="1">
    <w:name w:val="Прижатый влево"/>
    <w:basedOn w:val="696"/>
    <w:next w:val="696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69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70" w:customStyle="1">
    <w:name w:val="заголовок 1"/>
    <w:basedOn w:val="696"/>
    <w:next w:val="696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71" w:customStyle="1">
    <w:name w:val="Кому"/>
    <w:basedOn w:val="696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72" w:customStyle="1">
    <w:name w:val="заголовок 2"/>
    <w:basedOn w:val="696"/>
    <w:next w:val="696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73" w:customStyle="1">
    <w:name w:val="Цитаты"/>
    <w:basedOn w:val="696"/>
    <w:uiPriority w:val="99"/>
    <w:pPr>
      <w:ind w:left="360" w:right="360"/>
    </w:pPr>
    <w:rPr>
      <w:szCs w:val="24"/>
    </w:rPr>
  </w:style>
  <w:style w:type="character" w:styleId="774">
    <w:name w:val="Hyperlink"/>
    <w:basedOn w:val="706"/>
    <w:uiPriority w:val="99"/>
    <w:rPr>
      <w:rFonts w:cs="Times New Roman"/>
      <w:color w:val="0000ff"/>
      <w:u w:val="single"/>
    </w:rPr>
  </w:style>
  <w:style w:type="paragraph" w:styleId="775" w:customStyle="1">
    <w:name w:val="заголовок 3"/>
    <w:basedOn w:val="696"/>
    <w:next w:val="696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76">
    <w:name w:val="Strong"/>
    <w:basedOn w:val="706"/>
    <w:uiPriority w:val="99"/>
    <w:qFormat/>
    <w:rPr>
      <w:rFonts w:cs="Times New Roman"/>
      <w:b/>
    </w:rPr>
  </w:style>
  <w:style w:type="paragraph" w:styleId="777">
    <w:name w:val="Subtitle"/>
    <w:basedOn w:val="696"/>
    <w:link w:val="778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78" w:customStyle="1">
    <w:name w:val="Подзаголовок Знак"/>
    <w:basedOn w:val="706"/>
    <w:link w:val="777"/>
    <w:uiPriority w:val="99"/>
    <w:rPr>
      <w:rFonts w:ascii="Cambria" w:hAnsi="Cambria" w:cs="Times New Roman"/>
      <w:sz w:val="24"/>
    </w:rPr>
  </w:style>
  <w:style w:type="paragraph" w:styleId="779" w:customStyle="1">
    <w:name w:val="заголовок 6"/>
    <w:basedOn w:val="696"/>
    <w:next w:val="696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80" w:customStyle="1">
    <w:name w:val="Гиперссылка1"/>
    <w:uiPriority w:val="99"/>
    <w:rPr>
      <w:color w:val="0000ff"/>
      <w:u w:val="none"/>
    </w:rPr>
  </w:style>
  <w:style w:type="paragraph" w:styleId="781">
    <w:name w:val="envelope return"/>
    <w:basedOn w:val="696"/>
    <w:uiPriority w:val="99"/>
    <w:pPr>
      <w:ind w:right="57"/>
      <w:jc w:val="both"/>
      <w:spacing w:before="0" w:after="0"/>
    </w:pPr>
    <w:rPr>
      <w:szCs w:val="24"/>
    </w:rPr>
  </w:style>
  <w:style w:type="character" w:styleId="782" w:customStyle="1">
    <w:name w:val="text11"/>
    <w:uiPriority w:val="99"/>
    <w:rPr>
      <w:rFonts w:ascii="Arial" w:hAnsi="Arial"/>
      <w:color w:val="auto"/>
      <w:sz w:val="20"/>
    </w:rPr>
  </w:style>
  <w:style w:type="paragraph" w:styleId="783" w:customStyle="1">
    <w:name w:val="заголовок 5"/>
    <w:basedOn w:val="696"/>
    <w:next w:val="696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84" w:customStyle="1">
    <w:name w:val="Знак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5" w:customStyle="1">
    <w:name w:val="Знак Знак Знак Знак Знак Знак Знак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6" w:customStyle="1">
    <w:name w:val="Об"/>
    <w:uiPriority w:val="99"/>
    <w:pPr>
      <w:widowControl w:val="off"/>
    </w:pPr>
  </w:style>
  <w:style w:type="paragraph" w:styleId="787" w:customStyle="1">
    <w:name w:val="Прикольный"/>
    <w:basedOn w:val="786"/>
    <w:uiPriority w:val="99"/>
  </w:style>
  <w:style w:type="paragraph" w:styleId="788" w:customStyle="1">
    <w:name w:val="Знак Знак Знак Знак1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9" w:customStyle="1">
    <w:name w:val="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0" w:customStyle="1">
    <w:name w:val="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1" w:customStyle="1">
    <w:name w:val="Знак Знак Знак Знак2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2" w:customStyle="1">
    <w:name w:val="Знак Знак Знак Знак1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3" w:customStyle="1">
    <w:name w:val="Знак1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4" w:customStyle="1">
    <w:name w:val="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5" w:customStyle="1">
    <w:name w:val="Знак Знак Знак Знак1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6" w:customStyle="1">
    <w:name w:val="Знак Знак Знак1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9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98" w:customStyle="1">
    <w:name w:val="????????"/>
    <w:basedOn w:val="696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9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800" w:customStyle="1">
    <w:name w:val="Основной текст (4)"/>
    <w:link w:val="801"/>
    <w:uiPriority w:val="99"/>
    <w:rPr>
      <w:b/>
      <w:sz w:val="18"/>
    </w:rPr>
  </w:style>
  <w:style w:type="paragraph" w:styleId="801" w:customStyle="1">
    <w:name w:val="Основной текст (4)1"/>
    <w:basedOn w:val="696"/>
    <w:link w:val="80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802" w:customStyle="1">
    <w:name w:val="Основной текст (3)"/>
    <w:link w:val="803"/>
    <w:uiPriority w:val="99"/>
    <w:rPr>
      <w:sz w:val="28"/>
    </w:rPr>
  </w:style>
  <w:style w:type="paragraph" w:styleId="803" w:customStyle="1">
    <w:name w:val="Основной текст (3)1"/>
    <w:basedOn w:val="696"/>
    <w:link w:val="80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804" w:customStyle="1">
    <w:name w:val="Текст (лев. подпись)"/>
    <w:basedOn w:val="696"/>
    <w:next w:val="696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805" w:customStyle="1">
    <w:name w:val="Текст (прав. подпись)"/>
    <w:basedOn w:val="696"/>
    <w:next w:val="696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806" w:customStyle="1">
    <w:name w:val="Font Style12"/>
    <w:rPr>
      <w:rFonts w:ascii="Times New Roman" w:hAnsi="Times New Roman"/>
      <w:sz w:val="18"/>
    </w:rPr>
  </w:style>
  <w:style w:type="character" w:styleId="807">
    <w:name w:val="Placeholder Text"/>
    <w:basedOn w:val="706"/>
    <w:uiPriority w:val="99"/>
    <w:semiHidden/>
    <w:rPr>
      <w:color w:val="808080"/>
    </w:rPr>
  </w:style>
  <w:style w:type="paragraph" w:styleId="1_706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>
          <w:r>
            <w:rPr>
              <w:rStyle w:val="1243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239"/>
    <w:next w:val="1239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240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239"/>
    <w:next w:val="1239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240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239"/>
    <w:next w:val="1239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240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239"/>
    <w:next w:val="1239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240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239"/>
    <w:next w:val="1239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240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239"/>
    <w:next w:val="1239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240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239"/>
    <w:next w:val="1239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240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239"/>
    <w:next w:val="1239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240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239"/>
    <w:next w:val="1239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240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239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239"/>
    <w:next w:val="1239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240"/>
    <w:link w:val="271"/>
    <w:uiPriority w:val="10"/>
    <w:rPr>
      <w:sz w:val="48"/>
      <w:szCs w:val="48"/>
    </w:rPr>
  </w:style>
  <w:style w:type="paragraph" w:styleId="273">
    <w:name w:val="Subtitle"/>
    <w:basedOn w:val="1239"/>
    <w:next w:val="1239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240"/>
    <w:link w:val="273"/>
    <w:uiPriority w:val="11"/>
    <w:rPr>
      <w:sz w:val="24"/>
      <w:szCs w:val="24"/>
    </w:rPr>
  </w:style>
  <w:style w:type="paragraph" w:styleId="275">
    <w:name w:val="Quote"/>
    <w:basedOn w:val="1239"/>
    <w:next w:val="1239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239"/>
    <w:next w:val="1239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239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240"/>
    <w:link w:val="279"/>
    <w:uiPriority w:val="99"/>
  </w:style>
  <w:style w:type="paragraph" w:styleId="281">
    <w:name w:val="Footer"/>
    <w:basedOn w:val="1239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240"/>
    <w:link w:val="281"/>
    <w:uiPriority w:val="99"/>
  </w:style>
  <w:style w:type="paragraph" w:styleId="283">
    <w:name w:val="Caption"/>
    <w:basedOn w:val="1239"/>
    <w:next w:val="12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2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2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2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2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85">
    <w:name w:val="List Table 7 Colorful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86">
    <w:name w:val="List Table 7 Colorful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87">
    <w:name w:val="List Table 7 Colorful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88">
    <w:name w:val="List Table 7 Colorful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89">
    <w:name w:val="List Table 7 Colorful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90">
    <w:name w:val="Lined - Accent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2">
    <w:name w:val="Lined - Accent 2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93">
    <w:name w:val="Lined - Accent 3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94">
    <w:name w:val="Lined - Accent 4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95">
    <w:name w:val="Lined - Accent 5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96">
    <w:name w:val="Lined - Accent 6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97">
    <w:name w:val="Bordered &amp; Lined - Accent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9">
    <w:name w:val="Bordered &amp; Lined - Accent 2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00">
    <w:name w:val="Bordered &amp; Lined - Accent 3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01">
    <w:name w:val="Bordered &amp; Lined - Accent 4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02">
    <w:name w:val="Bordered &amp; Lined - Accent 5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03">
    <w:name w:val="Bordered &amp; Lined - Accent 6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04">
    <w:name w:val="Bordered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239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240"/>
    <w:uiPriority w:val="99"/>
    <w:unhideWhenUsed/>
    <w:rPr>
      <w:vertAlign w:val="superscript"/>
    </w:rPr>
  </w:style>
  <w:style w:type="paragraph" w:styleId="415">
    <w:name w:val="endnote text"/>
    <w:basedOn w:val="1239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240"/>
    <w:uiPriority w:val="99"/>
    <w:semiHidden/>
    <w:unhideWhenUsed/>
    <w:rPr>
      <w:vertAlign w:val="superscript"/>
    </w:rPr>
  </w:style>
  <w:style w:type="paragraph" w:styleId="418">
    <w:name w:val="toc 1"/>
    <w:basedOn w:val="1239"/>
    <w:next w:val="1239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239"/>
    <w:next w:val="1239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239"/>
    <w:next w:val="1239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239"/>
    <w:next w:val="1239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239"/>
    <w:next w:val="1239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239"/>
    <w:next w:val="1239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239"/>
    <w:next w:val="1239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239"/>
    <w:next w:val="1239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239"/>
    <w:next w:val="1239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239"/>
    <w:next w:val="1239"/>
    <w:uiPriority w:val="99"/>
    <w:unhideWhenUsed/>
    <w:pPr>
      <w:spacing w:after="0" w:afterAutospacing="0"/>
    </w:pPr>
  </w:style>
  <w:style w:type="paragraph" w:styleId="1239" w:default="1">
    <w:name w:val="Normal"/>
    <w:qFormat/>
    <w:rPr>
      <w:rFonts w:cs="Times New Roman"/>
      <w:sz w:val="3276"/>
      <w:szCs w:val="3276"/>
    </w:rPr>
  </w:style>
  <w:style w:type="character" w:styleId="1240" w:default="1">
    <w:name w:val="Default Paragraph Font"/>
    <w:uiPriority w:val="1"/>
    <w:semiHidden/>
    <w:unhideWhenUsed/>
  </w:style>
  <w:style w:type="table" w:styleId="12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42" w:default="1">
    <w:name w:val="No List"/>
    <w:uiPriority w:val="99"/>
    <w:semiHidden/>
    <w:unhideWhenUsed/>
  </w:style>
  <w:style w:type="character" w:styleId="1243">
    <w:name w:val="Placeholder Text"/>
    <w:basedOn w:val="1240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AC2D84-6A5C-445E-B906-7D139A8E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2021-08-20T09:14:00Z</dcterms:created>
  <dcterms:modified xsi:type="dcterms:W3CDTF">2024-04-10T03:01:40Z</dcterms:modified>
</cp:coreProperties>
</file>