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ind w:firstLine="540"/>
        <w:jc w:val="both"/>
        <w:outlineLvl w:val="0"/>
      </w:pPr>
    </w:p>
    <w:p>
      <w:pPr>
        <w:pStyle w:val="ConsPlusTitle"/>
        <w:jc w:val="center"/>
        <w:outlineLvl w:val="0"/>
      </w:pPr>
      <w:r>
        <w:t xml:space="preserve">МИНИСТЕРСТВО ПРИРОДНЫХ РЕСУРСОВ И ЭКОЛОГИИ</w:t>
      </w:r>
    </w:p>
    <w:p>
      <w:pPr>
        <w:pStyle w:val="ConsPlusTitle"/>
        <w:jc w:val="center"/>
      </w:pPr>
      <w:r>
        <w:t xml:space="preserve">НОВОСИБИРСКОЙ ОБЛАСТИ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ПРИКАЗ</w:t>
      </w:r>
    </w:p>
    <w:p>
      <w:pPr>
        <w:pStyle w:val="ConsPlusTitle"/>
        <w:jc w:val="center"/>
      </w:pPr>
      <w:r>
        <w:t xml:space="preserve">от 22 марта 2023 г. N 328-НПА</w:t>
      </w:r>
    </w:p>
    <w:p>
      <w:pPr>
        <w:pStyle w:val="ConsPlusTitle"/>
        <w:ind w:firstLine="540"/>
        <w:jc w:val="both"/>
      </w:pPr>
    </w:p>
    <w:p>
      <w:pPr>
        <w:pStyle w:val="ConsPlusTitle"/>
        <w:jc w:val="center"/>
      </w:pPr>
      <w:r>
        <w:t xml:space="preserve">ОБ УТВЕРЖДЕНИИ ПЛАНА РЕАЛИЗАЦИИ МЕРОПРИЯТИЙ</w:t>
      </w:r>
    </w:p>
    <w:p>
      <w:pPr>
        <w:pStyle w:val="ConsPlusTitle"/>
        <w:jc w:val="center"/>
      </w:pPr>
      <w:r>
        <w:t xml:space="preserve">ГОСУДАРСТВЕННОЙ ПРОГРАММЫ НОВОСИБИРСКОЙ ОБЛАСТИ</w:t>
      </w:r>
    </w:p>
    <w:p>
      <w:pPr>
        <w:pStyle w:val="ConsPlusTitle"/>
        <w:jc w:val="center"/>
      </w:pPr>
      <w:r>
        <w:t xml:space="preserve">"РАЗВИТИЕ ЛЕСНОГО ХОЗЯЙСТВА НОВОСИБИРСКОЙ ОБЛАСТИ"</w:t>
      </w:r>
    </w:p>
    <w:p>
      <w:pPr>
        <w:pStyle w:val="ConsPlusTitle"/>
        <w:jc w:val="center"/>
      </w:pPr>
      <w:r>
        <w:t xml:space="preserve">НА ОЧЕРЕДНОЙ 2023 ГОД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МПР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11.10.2023 N 1234-НПА, от 29.03.2024 N 340-НПА)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утвержденным постановлением Правительства Новосибирской области от 28.03.2014 N 125-п, приказываю: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прилагаемые:</w:t>
      </w:r>
    </w:p>
    <w:p>
      <w:pPr>
        <w:pStyle w:val="ConsPlusNormal"/>
        <w:spacing w:before="220"/>
        <w:ind w:firstLine="540"/>
        <w:jc w:val="both"/>
      </w:pPr>
      <w:r>
        <w:t xml:space="preserve">1) план реализации мероприятий государственной программы Новосибирской области "Развитие лесного хозяйства Новосибирской области" на очередной 2023 год (далее - план реализации) согласно приложению N 1 к настоящему приказу;</w:t>
      </w:r>
    </w:p>
    <w:p>
      <w:pPr>
        <w:pStyle w:val="ConsPlusNormal"/>
        <w:spacing w:before="220"/>
        <w:ind w:firstLine="540"/>
        <w:jc w:val="both"/>
      </w:pPr>
      <w:r>
        <w:t xml:space="preserve">2) информацию о включении </w:t>
      </w:r>
      <w:r>
        <w:t xml:space="preserve">мероприятий программы реализации наказов избирателей</w:t>
      </w:r>
      <w:r>
        <w:t xml:space="preserve"> депутатам Законодательного Собрания Новосибирской области в план реализации мероприятий государственной программы Новосибирской области "Развитие лесного хозяйства Новосибирской области" на 2023 год согласно приложению N 2 к настоящему приказу.</w:t>
      </w:r>
    </w:p>
    <w:p>
      <w:pPr>
        <w:pStyle w:val="ConsPlusNormal"/>
        <w:spacing w:before="220"/>
        <w:ind w:firstLine="540"/>
        <w:jc w:val="both"/>
      </w:pPr>
      <w:r>
        <w:t xml:space="preserve">2. Начальникам отделов министерства природным ресурсов и экологии Новосибирской области (далее - ответственные исполнители) руководствоваться в работе настоящим приказом.</w:t>
      </w:r>
    </w:p>
    <w:p>
      <w:pPr>
        <w:pStyle w:val="ConsPlusNormal"/>
        <w:spacing w:before="220"/>
        <w:ind w:firstLine="540"/>
        <w:jc w:val="both"/>
      </w:pPr>
      <w:r>
        <w:t xml:space="preserve">3. Ответственным исполнителям обеспечить исполнение плана реализации мероприятий государственной программы.</w:t>
      </w:r>
    </w:p>
    <w:p>
      <w:pPr>
        <w:pStyle w:val="ConsPlusNormal"/>
        <w:spacing w:before="220"/>
        <w:ind w:firstLine="540"/>
        <w:jc w:val="both"/>
      </w:pPr>
      <w:r>
        <w:t xml:space="preserve">4. </w:t>
      </w:r>
      <w:r>
        <w:t xml:space="preserve">Контроль за</w:t>
      </w:r>
      <w:r>
        <w:t xml:space="preserve"> исполнением приказа оставляю за собой.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 xml:space="preserve">Министр</w:t>
      </w:r>
    </w:p>
    <w:p>
      <w:pPr>
        <w:pStyle w:val="ConsPlusNormal"/>
        <w:jc w:val="right"/>
      </w:pPr>
      <w:r>
        <w:t xml:space="preserve">Е.А.ШЕСТЕРНИН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Приложение N 1</w:t>
      </w:r>
    </w:p>
    <w:p>
      <w:pPr>
        <w:pStyle w:val="ConsPlusNormal"/>
        <w:jc w:val="right"/>
      </w:pPr>
      <w:r>
        <w:t xml:space="preserve">к приказу</w:t>
      </w:r>
    </w:p>
    <w:p>
      <w:pPr>
        <w:pStyle w:val="ConsPlusNormal"/>
        <w:jc w:val="right"/>
      </w:pPr>
      <w:r>
        <w:t xml:space="preserve">министерства природных ресурсов и</w:t>
      </w:r>
    </w:p>
    <w:p>
      <w:pPr>
        <w:pStyle w:val="ConsPlusNormal"/>
        <w:jc w:val="right"/>
      </w:pPr>
      <w:r>
        <w:t xml:space="preserve">экологии Новосибирской области</w:t>
      </w:r>
    </w:p>
    <w:p>
      <w:pPr>
        <w:pStyle w:val="ConsPlusNormal"/>
        <w:jc w:val="right"/>
      </w:pPr>
      <w:r>
        <w:t xml:space="preserve">от 22.03.2023 N 328-НПА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0" w:name="P36"/>
      <w:bookmarkEnd w:id="0"/>
      <w:r>
        <w:t xml:space="preserve">ПЛАН</w:t>
      </w:r>
    </w:p>
    <w:p>
      <w:pPr>
        <w:pStyle w:val="ConsPlusTitle"/>
        <w:jc w:val="center"/>
      </w:pPr>
      <w:r>
        <w:t xml:space="preserve">РЕАЛИЗАЦИИ МЕРОПРИЯТИЙ ГОСУДАРСТВЕННОЙ ПРОГРАММЫ</w:t>
      </w:r>
    </w:p>
    <w:p>
      <w:pPr>
        <w:pStyle w:val="ConsPlusTitle"/>
        <w:jc w:val="center"/>
      </w:pPr>
      <w:r>
        <w:t xml:space="preserve">НОВОСИБИРСКОЙ ОБЛАСТИ "РАЗВИТИЕ ЛЕСНОГО ХОЗЯЙСТВА</w:t>
      </w:r>
    </w:p>
    <w:p>
      <w:pPr>
        <w:pStyle w:val="ConsPlusTitle"/>
        <w:jc w:val="center"/>
      </w:pPr>
      <w:r>
        <w:t xml:space="preserve">НОВОСИБИРСКОЙ ОБЛАСТИ" НА ОЧЕРЕДНОЙ 2023 ГОД (НА ОСНОВАНИИ</w:t>
      </w:r>
    </w:p>
    <w:p>
      <w:pPr>
        <w:pStyle w:val="ConsPlusTitle"/>
        <w:jc w:val="center"/>
      </w:pPr>
      <w:r>
        <w:t xml:space="preserve">ГОСУДАРСТВЕННОЙ ПРОГРАММЫ В РЕДАКЦИИ ПОСТАНОВЛЕНИЯ</w:t>
      </w:r>
    </w:p>
    <w:p>
      <w:pPr>
        <w:pStyle w:val="ConsPlusTitle"/>
        <w:jc w:val="center"/>
      </w:pPr>
      <w:r>
        <w:t xml:space="preserve">ПРАВИТЕЛЬСТВА НОВОСИБИРСКОЙ ОБЛАСТИ ОТ 09.10.2023 N 460-П)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МПР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11.10.2023 N 1234-НПА, от 29.03.2024 N 340-НПА)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Таблица N 1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r>
        <w:t xml:space="preserve">Целевые индикаторы</w:t>
      </w:r>
    </w:p>
    <w:p>
      <w:pPr>
        <w:pStyle w:val="ConsPlusTitle"/>
        <w:jc w:val="center"/>
      </w:pPr>
      <w:r>
        <w:t xml:space="preserve">государственной программы Новосибирской области</w:t>
      </w:r>
    </w:p>
    <w:p>
      <w:pPr>
        <w:pStyle w:val="ConsPlusTitle"/>
        <w:jc w:val="center"/>
      </w:pPr>
      <w:r>
        <w:t xml:space="preserve">"Развитие лесного хозяйства </w:t>
      </w:r>
      <w:r>
        <w:t xml:space="preserve">Новосибирской</w:t>
      </w:r>
    </w:p>
    <w:p>
      <w:pPr>
        <w:pStyle w:val="ConsPlusTitle"/>
        <w:jc w:val="center"/>
      </w:pPr>
      <w:r>
        <w:t xml:space="preserve">области" на очередной 2023 год</w:t>
      </w:r>
    </w:p>
    <w:p>
      <w:pPr>
        <w:pStyle w:val="ConsPlusNormal"/>
        <w:ind w:firstLine="540"/>
        <w:jc w:val="both"/>
      </w:pPr>
    </w:p>
    <w:p>
      <w:pPr>
        <w:pStyle w:val="ConsPlusNormal"/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00"/>
        <w:gridCol w:w="3912"/>
        <w:gridCol w:w="850"/>
        <w:gridCol w:w="1417"/>
        <w:gridCol w:w="1417"/>
        <w:gridCol w:w="1442"/>
        <w:gridCol w:w="1168"/>
      </w:tblGrid>
      <w:tr>
        <w:tc>
          <w:tcPr>
            <w:tcW w:w="3400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Цель/задачи, требующие решения для достижения цели</w:t>
            </w:r>
          </w:p>
        </w:tc>
        <w:tc>
          <w:tcPr>
            <w:tcW w:w="3912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Наименование целевого индикатора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Ед. измерения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Значение весового коэффициента целевого индикатора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pStyle w:val="ConsPlusNormal"/>
              <w:jc w:val="center"/>
            </w:pPr>
            <w:r>
              <w:t xml:space="preserve">Значение целевого индикатора на очередной финансовый 2023 год, в том числе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Примечание</w:t>
            </w: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1417" w:type="dxa"/>
            <w:vMerge w:val="continue"/>
          </w:tcPr>
          <w:p>
            <w:pPr>
              <w:pStyle w:val="ConsPlusNormal"/>
            </w:pP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6 месяцев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12 месяцев</w:t>
            </w:r>
          </w:p>
        </w:tc>
        <w:tc>
          <w:tcPr>
            <w:tcW w:w="1168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3912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1168" w:type="dxa"/>
            <w:vAlign w:val="center"/>
          </w:tcPr>
          <w:p>
            <w:pPr>
              <w:pStyle w:val="ConsPlusNormal"/>
              <w:jc w:val="center"/>
            </w:pPr>
            <w:r>
              <w:t xml:space="preserve">12</w:t>
            </w:r>
          </w:p>
        </w:tc>
      </w:tr>
      <w:tr>
        <w:tc>
          <w:tcPr>
            <w:tcW w:w="13606" w:type="dxa"/>
            <w:gridSpan w:val="7"/>
            <w:vAlign w:val="center"/>
          </w:tcPr>
          <w:p>
            <w:pPr>
              <w:pStyle w:val="ConsPlusNormal"/>
              <w:jc w:val="center"/>
              <w:outlineLvl w:val="2"/>
            </w:pPr>
            <w:r>
              <w:t xml:space="preserve">Государственная программа Новосибирской области "Развитие лесного хозяйства Новосибирской области"</w:t>
            </w:r>
          </w:p>
        </w:tc>
      </w:tr>
      <w:tr>
        <w:tc>
          <w:tcPr>
            <w:tcW w:w="13606" w:type="dxa"/>
            <w:gridSpan w:val="7"/>
            <w:vAlign w:val="center"/>
          </w:tcPr>
          <w:p>
            <w:pPr>
              <w:pStyle w:val="ConsPlusNormal"/>
              <w:outlineLvl w:val="3"/>
            </w:pPr>
            <w:r>
              <w:t xml:space="preserve">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>
        <w:tc>
          <w:tcPr>
            <w:tcW w:w="3400" w:type="dxa"/>
            <w:vMerge w:val="restart"/>
          </w:tcPr>
          <w:p>
            <w:pPr>
              <w:pStyle w:val="ConsPlusNormal"/>
            </w:pPr>
            <w:r>
              <w:t xml:space="preserve">Задача 1 государственной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2. Отношение фактического объема заготовки древесины к установленному допустимому объему изъятия древесины &lt;1&gt;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0,060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12,0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24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3. Лесистость территории Новосибирской области &lt;1&gt;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0,150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27,8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4. Отношение площади лесовосстановления к площади вырубленных и погибших лесных насаждений &lt;1&gt;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0,160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45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100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1</w:t>
            </w:r>
            <w:r>
              <w:t xml:space="preserve">. Количество приобретенной специализированной лесопожарной техники и оборудования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шт.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0,010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</w:tcPr>
          <w:p>
            <w:pPr>
              <w:pStyle w:val="ConsPlusNormal"/>
            </w:pPr>
            <w:r>
              <w:t xml:space="preserve">Задача 2 государственной </w:t>
            </w:r>
            <w:r>
              <w:t xml:space="preserve">программы: повышение эффективности управления лесами</w:t>
            </w: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5. Объем платежей в </w:t>
            </w:r>
            <w:r>
              <w:t xml:space="preserve">бюджетную систему Российской Федерации от использования лесов, расположенных на землях лесного фонда, в расчете на 1 га земель лесного фонда Новосибирской области &lt;1&gt;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руб.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0,050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42,0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58,7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13606" w:type="dxa"/>
            <w:gridSpan w:val="7"/>
            <w:vAlign w:val="center"/>
          </w:tcPr>
          <w:p>
            <w:pPr>
              <w:pStyle w:val="ConsPlusNormal"/>
              <w:jc w:val="center"/>
              <w:outlineLvl w:val="4"/>
            </w:pPr>
            <w:r>
              <w:t xml:space="preserve">Задача 1 государственной программы: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>
        <w:tc>
          <w:tcPr>
            <w:tcW w:w="13606" w:type="dxa"/>
            <w:gridSpan w:val="7"/>
            <w:vAlign w:val="center"/>
          </w:tcPr>
          <w:p>
            <w:pPr>
              <w:pStyle w:val="ConsPlusNormal"/>
              <w:jc w:val="center"/>
              <w:outlineLvl w:val="5"/>
            </w:pPr>
            <w:r>
              <w:t xml:space="preserve">Подпрограмма 1 государственной программы "Обеспечение использования, охраны, защиты и воспроизводства лесов"</w:t>
            </w:r>
          </w:p>
        </w:tc>
      </w:tr>
      <w:tr>
        <w:tc>
          <w:tcPr>
            <w:tcW w:w="13606" w:type="dxa"/>
            <w:gridSpan w:val="7"/>
            <w:vAlign w:val="center"/>
          </w:tcPr>
          <w:p>
            <w:pPr>
              <w:pStyle w:val="ConsPlusNormal"/>
              <w:jc w:val="center"/>
              <w:outlineLvl w:val="6"/>
            </w:pPr>
            <w:r>
              <w:t xml:space="preserve">Цель 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>
        <w:tc>
          <w:tcPr>
            <w:tcW w:w="3400" w:type="dxa"/>
            <w:vMerge w:val="restart"/>
          </w:tcPr>
          <w:p>
            <w:pPr>
              <w:pStyle w:val="ConsPlusNormal"/>
            </w:pPr>
            <w:r>
              <w:t xml:space="preserve">Задача 1 подпрограммы 1 государственной программы: повышение эффективности предупреждения и сокращения потерь лесного хозяйства от пожаров и вредных организмов</w:t>
            </w: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6. Площадь лесных пожаров на землях лесного фонда &lt;1&gt;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га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0,050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1 797,69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1 797,69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7. Доля лесных пожаров, возникших по вине граждан, в общем количестве лесных пожаров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0,005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20,34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20,34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8. Доля лесных пожаров, ликвидированных в течение первых суток с момента обнаружения, в общем количестве лесных пожаров &lt;1&gt;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0,050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99,95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99,95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2</w:t>
            </w:r>
            <w:r>
              <w:t xml:space="preserve">. Количество приобретенной техники для осуществления федерального </w:t>
            </w:r>
            <w:r>
              <w:t xml:space="preserve">государственного лесного контроля (надзора) и для охраны лесов от пожаров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шт.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0,085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34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П3. Отношение площади ликвидированных очагов вредных организмов в лесах к площади очагов вредных организмов в лесах, требующих мер борьбы с ними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0,030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21,0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13.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0,030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0,100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0,100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4</w:t>
            </w:r>
            <w:r>
              <w:t xml:space="preserve">. Количество обследованных пунктов учета очагов вредных организмов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шт.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0,020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773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773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restart"/>
          </w:tcPr>
          <w:p>
            <w:pPr>
              <w:pStyle w:val="ConsPlusNormal"/>
            </w:pPr>
            <w:r>
              <w:t xml:space="preserve">Задача 2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16. Площадь отвода и таксации лесосек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тыс. га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0,015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4,9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29,2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17. Доля площадей земель лесного фонда, переданных в пользование, в общей площади земель лесного фонда на территории Новосибирской области &lt;1&gt;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0,025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29,0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18. Доля объема заготовки древесины выборочными рубками в общем объеме заготовки древесины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0,019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72,61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72,61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П5. Площадь проведения санитарно-оздоровительных мероприятий на территории ООПТ "Дендрологический парк"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га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0,003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166,5855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166,5855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6</w:t>
            </w:r>
            <w:r>
              <w:t xml:space="preserve">. Протяженность отремонтированных дорожек на территории ООПТ "Дендрологический парк"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м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0,003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2600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7</w:t>
            </w:r>
            <w:r>
              <w:t xml:space="preserve">. Количество разработанной проектной документации по проектированию (изменению) лесопарковых и зеленых зон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шт.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0,005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П8. Количество лесохозяйственных участков Новосибирской области, в отношении которых оцифрованы материалы лесоустройства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шт.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0,005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40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restart"/>
          </w:tcPr>
          <w:p>
            <w:pPr>
              <w:pStyle w:val="ConsPlusNormal"/>
            </w:pPr>
            <w:r>
              <w:t xml:space="preserve">Задача 3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погибших и вырубленных лесов</w:t>
            </w: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19. Доля семян с улучшенными наследственными свойствами в общем объеме заготовленных семян &lt;1&gt;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0,045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12,8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9</w:t>
            </w:r>
            <w:r>
              <w:t xml:space="preserve">. Площадь дополнения лесных культур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га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0,085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996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1473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13606" w:type="dxa"/>
            <w:gridSpan w:val="7"/>
            <w:vAlign w:val="center"/>
          </w:tcPr>
          <w:p>
            <w:pPr>
              <w:pStyle w:val="ConsPlusNormal"/>
              <w:jc w:val="center"/>
              <w:outlineLvl w:val="4"/>
            </w:pPr>
            <w:r>
              <w:t xml:space="preserve">Задача 2 государственной программы: повышение эффективности управления лесами</w:t>
            </w:r>
          </w:p>
        </w:tc>
      </w:tr>
      <w:tr>
        <w:tc>
          <w:tcPr>
            <w:tcW w:w="13606" w:type="dxa"/>
            <w:gridSpan w:val="7"/>
            <w:vAlign w:val="center"/>
          </w:tcPr>
          <w:p>
            <w:pPr>
              <w:pStyle w:val="ConsPlusNormal"/>
              <w:jc w:val="center"/>
              <w:outlineLvl w:val="5"/>
            </w:pPr>
            <w:r>
              <w:t xml:space="preserve">Подпрограмма 2 "Обеспечение реализации государственной программы "Развитие лесного хозяйства Новосибирской области"</w:t>
            </w:r>
          </w:p>
        </w:tc>
      </w:tr>
      <w:tr>
        <w:tc>
          <w:tcPr>
            <w:tcW w:w="13606" w:type="dxa"/>
            <w:gridSpan w:val="7"/>
            <w:vAlign w:val="center"/>
          </w:tcPr>
          <w:p>
            <w:pPr>
              <w:pStyle w:val="ConsPlusNormal"/>
              <w:jc w:val="center"/>
              <w:outlineLvl w:val="6"/>
            </w:pPr>
            <w:r>
              <w:t xml:space="preserve">Цель подпрограммы 2: повышение эффективности управления лесами</w:t>
            </w:r>
          </w:p>
        </w:tc>
      </w:tr>
      <w:tr>
        <w:tc>
          <w:tcPr>
            <w:tcW w:w="3400" w:type="dxa"/>
            <w:vMerge w:val="restart"/>
          </w:tcPr>
          <w:p>
            <w:pPr>
              <w:pStyle w:val="ConsPlusNormal"/>
            </w:pPr>
            <w:r>
              <w:t xml:space="preserve">Задача 1 подпрограммы 2 государственной программы: обеспечение соблюдения требований законодательства в сфере лесных отношений</w:t>
            </w: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25. Динамика предотвращения возникновения нарушений лесного законодательства, причиняющих вред лесам, относительно уровня нарушений предыдущего года &lt;1&gt;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0,035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3,0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3,0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П10. Количество приобретенной автомобильной техники для осуществления мер по выявлению нарушений лесного законодательства, незаконной заготовке, оборота древесины на территории Новосибирской области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шт.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0,025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21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restart"/>
          </w:tcPr>
          <w:p>
            <w:pPr>
              <w:pStyle w:val="ConsPlusNormal"/>
            </w:pPr>
            <w:r>
              <w:t xml:space="preserve">Задача 2 подпрограммы 2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30. Доля специалистов лесного хозяйства, прошедших повышение квалификации, в общей численности работников лесного хозяйства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0,010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-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  <w:tr>
        <w:tc>
          <w:tcPr>
            <w:tcW w:w="3400" w:type="dxa"/>
            <w:vMerge w:val="continue"/>
          </w:tcPr>
          <w:p>
            <w:pPr>
              <w:pStyle w:val="ConsPlusNormal"/>
            </w:pPr>
          </w:p>
        </w:tc>
        <w:tc>
          <w:tcPr>
            <w:tcW w:w="3912" w:type="dxa"/>
          </w:tcPr>
          <w:p>
            <w:pPr>
              <w:pStyle w:val="ConsPlusNormal"/>
            </w:pPr>
            <w:r>
              <w:t xml:space="preserve">31. Прирост производительности труда в лесном секторе Новосибирской области к предыдущему году</w:t>
            </w:r>
          </w:p>
        </w:tc>
        <w:tc>
          <w:tcPr>
            <w:tcW w:w="850" w:type="dxa"/>
            <w:vAlign w:val="center"/>
          </w:tcPr>
          <w:p>
            <w:pPr>
              <w:pStyle w:val="ConsPlusNormal"/>
              <w:jc w:val="center"/>
            </w:pPr>
            <w:r>
              <w:t xml:space="preserve">%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0,025</w:t>
            </w:r>
          </w:p>
        </w:tc>
        <w:tc>
          <w:tcPr>
            <w:tcW w:w="1417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442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16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Таблица N 2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r>
        <w:t xml:space="preserve">Информация</w:t>
      </w:r>
    </w:p>
    <w:p>
      <w:pPr>
        <w:pStyle w:val="ConsPlusTitle"/>
        <w:jc w:val="center"/>
      </w:pPr>
      <w:r>
        <w:t xml:space="preserve">о порядке сбора информации для определения (расчета)</w:t>
      </w:r>
    </w:p>
    <w:p>
      <w:pPr>
        <w:pStyle w:val="ConsPlusTitle"/>
        <w:jc w:val="center"/>
      </w:pPr>
      <w:r>
        <w:t xml:space="preserve">плановых и фактических значений целевых индикаторов</w:t>
      </w:r>
    </w:p>
    <w:p>
      <w:pPr>
        <w:pStyle w:val="ConsPlusTitle"/>
        <w:jc w:val="center"/>
      </w:pPr>
      <w:r>
        <w:t xml:space="preserve">государственной программы Новосибирской области</w:t>
      </w:r>
    </w:p>
    <w:p>
      <w:pPr>
        <w:pStyle w:val="ConsPlusTitle"/>
        <w:jc w:val="center"/>
      </w:pPr>
      <w:r>
        <w:t xml:space="preserve">"Развитие лесного хозяйства </w:t>
      </w:r>
      <w:r>
        <w:t xml:space="preserve">Новосибирской</w:t>
      </w:r>
    </w:p>
    <w:p>
      <w:pPr>
        <w:pStyle w:val="ConsPlusTitle"/>
        <w:jc w:val="center"/>
      </w:pPr>
      <w:r>
        <w:t xml:space="preserve">области" на очередной 2023 год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11"/>
        <w:gridCol w:w="1020"/>
        <w:gridCol w:w="1020"/>
        <w:gridCol w:w="6633"/>
        <w:gridCol w:w="2721"/>
      </w:tblGrid>
      <w:tr>
        <w:tc>
          <w:tcPr>
            <w:tcW w:w="2211" w:type="dxa"/>
            <w:vAlign w:val="center"/>
          </w:tcPr>
          <w:p>
            <w:pPr>
              <w:pStyle w:val="ConsPlusNormal"/>
              <w:jc w:val="center"/>
            </w:pPr>
            <w:r>
              <w:t xml:space="preserve">Наименование целевого индикатора</w:t>
            </w:r>
          </w:p>
        </w:tc>
        <w:tc>
          <w:tcPr>
            <w:tcW w:w="1020" w:type="dxa"/>
            <w:vAlign w:val="center"/>
          </w:tcPr>
          <w:p>
            <w:pPr>
              <w:pStyle w:val="ConsPlusNormal"/>
              <w:jc w:val="center"/>
            </w:pPr>
            <w:r>
              <w:t xml:space="preserve">Периодичность сбора</w:t>
            </w:r>
          </w:p>
        </w:tc>
        <w:tc>
          <w:tcPr>
            <w:tcW w:w="1020" w:type="dxa"/>
            <w:vAlign w:val="center"/>
          </w:tcPr>
          <w:p>
            <w:pPr>
              <w:pStyle w:val="ConsPlusNormal"/>
              <w:jc w:val="center"/>
            </w:pPr>
            <w:r>
              <w:t xml:space="preserve">Вид временной характеристики</w:t>
            </w:r>
          </w:p>
        </w:tc>
        <w:tc>
          <w:tcPr>
            <w:tcW w:w="6633" w:type="dxa"/>
            <w:vAlign w:val="center"/>
          </w:tcPr>
          <w:p>
            <w:pPr>
              <w:pStyle w:val="ConsPlusNormal"/>
              <w:jc w:val="center"/>
            </w:pPr>
            <w:r>
              <w:t xml:space="preserve">Методика расчета (плановых и фактических значений)</w:t>
            </w:r>
          </w:p>
        </w:tc>
        <w:tc>
          <w:tcPr>
            <w:tcW w:w="2721" w:type="dxa"/>
            <w:vAlign w:val="center"/>
          </w:tcPr>
          <w:p>
            <w:pPr>
              <w:pStyle w:val="ConsPlusNormal"/>
              <w:jc w:val="center"/>
            </w:pPr>
            <w:r>
              <w:t xml:space="preserve">Источник получения данных</w:t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1020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6633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2721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2. Отношение фактического объема заготовки древесины к установленному допустимому объему изъятия древесины,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V</w:t>
            </w:r>
            <w:r>
              <w:t xml:space="preserve">зг = Vз / Vрл x 100, где</w:t>
            </w:r>
          </w:p>
          <w:p>
            <w:pPr>
              <w:pStyle w:val="ConsPlusNormal"/>
              <w:jc w:val="both"/>
            </w:pPr>
            <w:r>
              <w:t xml:space="preserve">Vзг - отношение фактического объема заготовки древесины к установленному допустимому объему изъятия древесины</w:t>
            </w:r>
            <w:r>
              <w:t xml:space="preserve">, %;</w:t>
            </w:r>
          </w:p>
          <w:p>
            <w:pPr>
              <w:pStyle w:val="ConsPlusNormal"/>
              <w:jc w:val="both"/>
            </w:pPr>
            <w:r>
              <w:t xml:space="preserve">V</w:t>
            </w:r>
            <w:r>
              <w:t xml:space="preserve">з - общий объем заготовки древесины за отчетный период, всего, тыс. куб. м;</w:t>
            </w:r>
          </w:p>
          <w:p>
            <w:pPr>
              <w:pStyle w:val="ConsPlusNormal"/>
              <w:jc w:val="both"/>
            </w:pPr>
            <w:r>
              <w:t xml:space="preserve">V</w:t>
            </w:r>
            <w:r>
              <w:t xml:space="preserve">рл - допустимый объем изъятия древесины (расчетная лесосека) за отчетный период, тыс. куб. м.</w:t>
            </w:r>
          </w:p>
          <w:p>
            <w:pPr>
              <w:pStyle w:val="ConsPlusNormal"/>
              <w:jc w:val="both"/>
            </w:pPr>
            <w:r>
              <w:t xml:space="preserve">1. </w:t>
            </w:r>
            <w:r>
              <w:t xml:space="preserve">Плановые значения целевого индикатора определяются ежегодно с учетом сложившихся среднемноголетних (5-летних) данных, а также с учетом назначений, предусмотренных Лесным планом Новосибирской области, утвержденным постановлением Губернатора Новосибирской области от 10.01.2019 N 4, а также предусмотренных для Новосибирской области государственной программой Российской Федерации "Развитие лесного хозяйства", с учетом влияния мероприятий 1.1.1.1.1.1.16, 1.1.1.1.2.2, 1.1.1.1.3.1.1,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V</w:t>
            </w:r>
            <w:r>
              <w:t xml:space="preserve">з - форма 12-ОИП (ежеквартальная) строка 600, графа 8;</w:t>
            </w:r>
          </w:p>
          <w:p>
            <w:pPr>
              <w:pStyle w:val="ConsPlusNormal"/>
              <w:jc w:val="both"/>
            </w:pPr>
            <w:r>
              <w:t xml:space="preserve">V</w:t>
            </w:r>
            <w:r>
              <w:t xml:space="preserve">рл - форма 12-ОИП (ежеквартальная) строка 100, графа 8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3. Лесистость территории Новосибирской области,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Л = </w:t>
            </w:r>
            <w:r>
              <w:t xml:space="preserve">S</w:t>
            </w:r>
            <w:r>
              <w:t xml:space="preserve">плрз / Sобщ x 100%, где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плрз - площадь, покрытая лесной растительностью земель субъекта, тыс. га;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общ - общая площадь земель лесного фонда субъекта, тыс. га.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сложившихся среднемноголетних (5-летних) данных, а также с учетом изменения в характеристиках лесного фонда под влиянием различных природных и антропогенных воздействий, с учетом назначений, предусмотренных для Новосибирской области государственной программой Российской Федерации "Развитие лесного хозяйства", с учетом влияния мероприятий регионального проекта "Сохранение лесов": О</w:t>
            </w:r>
            <w:r>
              <w:t xml:space="preserve">1</w:t>
            </w:r>
            <w:r>
              <w:t xml:space="preserve">.1, О1.2, О1.3, а также мероприятий 1.1.1.1.1.1, 1.1.1.1.2.2, 1.1.1.1.3.1, 1.2.2.1.1.1,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плрз - форма N 3-ГЛР (годовая) строка "Всего по Новосибирской области" графы (10 + 20);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общ - форма N 3-ГЛР стр. "Всего по Новосибирской области" графы 2/10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4. Отношение площади лесовосстановления и лесоразведения к площади вырубленных и погибших лесных насаждений на землях лесного фонда на территории Новосибирской </w:t>
            </w:r>
            <w:r>
              <w:t xml:space="preserve">области,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(</w:t>
            </w:r>
            <w:r>
              <w:t xml:space="preserve">S</w:t>
            </w:r>
            <w:r>
              <w:t xml:space="preserve">лвлр / (Sвр + Sпг)) x 100, где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лвлр - площадь лесовосстановления и лесоразведения за отчетный период, тыс. га;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вр - площадь вырубленных лесных насаждений за год (n - 2), где n - отчетный год, тыс. га.</w:t>
            </w:r>
          </w:p>
          <w:p>
            <w:pPr>
              <w:pStyle w:val="ConsPlusNormal"/>
              <w:jc w:val="both"/>
            </w:pPr>
            <w:r>
              <w:t xml:space="preserve">При этом не подлежат включению в площади сплошных рубок:</w:t>
            </w:r>
          </w:p>
          <w:p>
            <w:pPr>
              <w:pStyle w:val="ConsPlusNormal"/>
              <w:jc w:val="both"/>
            </w:pPr>
            <w:r>
              <w:t xml:space="preserve">- площади сплошных рубок при создании объектов лесной инфраструктуры, созданных в соответствии со статьей 13 Лесного кодекса Российской Федерации;</w:t>
            </w:r>
          </w:p>
          <w:p>
            <w:pPr>
              <w:pStyle w:val="ConsPlusNormal"/>
              <w:jc w:val="both"/>
            </w:pPr>
            <w:r>
              <w:t xml:space="preserve">- площади сплошных рубок в погибших лесных насаждениях;</w:t>
            </w:r>
          </w:p>
          <w:p>
            <w:pPr>
              <w:pStyle w:val="ConsPlusNormal"/>
              <w:jc w:val="both"/>
            </w:pPr>
            <w:r>
              <w:t xml:space="preserve">- площади сплошных рубок при использовании лесов в соответствии с частью 5 статьи 43 и частью 4 статьи 45 Лесного кодекса Российской Федерации;</w:t>
            </w:r>
          </w:p>
          <w:p>
            <w:pPr>
              <w:pStyle w:val="ConsPlusNormal"/>
              <w:jc w:val="both"/>
            </w:pPr>
            <w:r>
              <w:t xml:space="preserve">- площади сплошных рубок при осуществлении геологического изучения недр;</w:t>
            </w:r>
          </w:p>
          <w:p>
            <w:pPr>
              <w:pStyle w:val="ConsPlusNormal"/>
              <w:jc w:val="both"/>
            </w:pPr>
            <w:r>
              <w:t xml:space="preserve">- уборка неликвидной древесины;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пг - площадь лесных насаждений, погибших в связи с воздействием пожаров, вредных организмов и других факторов за год (n - 2), где n - отчетный год, тыс. га.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сложившихся среднемноголетних (5-летних) данных с учетом назначений, предусмотренных для Новосибирской области федеральным проектом "Сохранение лесов", также с учетом предусмотренных для Новосибирской области государственной программой Российской Федерации "Развитие лесного хозяйства" с учетом влияния мероприятий регионального проекта "Сохранение лесов": О</w:t>
            </w:r>
            <w:r>
              <w:t xml:space="preserve">1</w:t>
            </w:r>
            <w:r>
              <w:t xml:space="preserve">.1, О1.2, О1.3, а также мероприятий 1.1.1.1.1.1, 1.1.1.1.2.2, 1.1.1.1.3.1, 1.2.2.1.1.1,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 с учетом итогов реализации мероприятий регионального проекта "Сохранение лесов"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лвлр - форма 15-ОИП (ежеквартальная) сумма строк 2460, 2470, 2480, 2490, 2500, 2510, 2520, 2530, 2540, 2550, 2560, 2570, 2580 по разделу 2, части 3, гр. 14 / 1000;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вр - форма N 12-</w:t>
            </w:r>
            <w:r>
              <w:t xml:space="preserve">ОИП (ежеквартальная) строка 200 - строка 222 - строка 230, графа 7/1000 (за 2021 год при расчете значений в 2023 году);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пг - форма N 10-ОИП (ежеквартальная) раздел 2, строка 80, графа 8/1000 (за 2021 год при расчете значений в 2023 году)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1</w:t>
            </w:r>
            <w:r>
              <w:t xml:space="preserve">. Количество приобретенной специализированной лесопожарной техники и </w:t>
            </w:r>
            <w:r>
              <w:t xml:space="preserve">оборудования, шт.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за отчетный период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3825" cy="28321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7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3825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9.75pt;height:22.30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К</w:t>
            </w:r>
            <w:r>
              <w:t xml:space="preserve"> - количество приобретенной специализированной лесопожарной техники и оборудования,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потребности и запланированного объема финансирования на мероприятие О</w:t>
            </w:r>
            <w:r>
              <w:t xml:space="preserve">1</w:t>
            </w:r>
            <w:r>
              <w:t xml:space="preserve">, с учетом влияния мероприятия О1.3, реализуемого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Перечень специализированной лесопожарной техники и оборудования, отчет подведомственных </w:t>
            </w:r>
            <w:r>
              <w:t xml:space="preserve">учреждений, с которыми заключено соглашение на предоставление субсидии на закупку специализированной техники и оборудования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5.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Новосибирской области, руб./га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за отчетный период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V</w:t>
            </w:r>
            <w:r>
              <w:rPr>
                <w:vertAlign w:val="subscript"/>
              </w:rPr>
              <w:t xml:space="preserve">1га</w:t>
            </w:r>
            <w:r>
              <w:t xml:space="preserve"> = </w:t>
            </w:r>
            <w:r>
              <w:t xml:space="preserve">V</w:t>
            </w:r>
            <w:r>
              <w:rPr>
                <w:vertAlign w:val="subscript"/>
              </w:rPr>
              <w:t xml:space="preserve">п</w:t>
            </w:r>
            <w:r>
              <w:t xml:space="preserve"> / S</w:t>
            </w:r>
            <w:r>
              <w:rPr>
                <w:vertAlign w:val="subscript"/>
              </w:rPr>
              <w:t xml:space="preserve">лф</w:t>
            </w:r>
            <w:r>
              <w:t xml:space="preserve">, где</w:t>
            </w:r>
          </w:p>
          <w:p>
            <w:pPr>
              <w:pStyle w:val="ConsPlusNormal"/>
              <w:jc w:val="both"/>
            </w:pPr>
            <w:r>
              <w:t xml:space="preserve">V</w:t>
            </w:r>
            <w:r>
              <w:rPr>
                <w:vertAlign w:val="subscript"/>
              </w:rPr>
              <w:t xml:space="preserve">1га</w:t>
            </w:r>
            <w:r>
              <w:t xml:space="preserve"> -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Новосибирской области;</w:t>
            </w:r>
          </w:p>
          <w:p>
            <w:pPr>
              <w:pStyle w:val="ConsPlusNormal"/>
              <w:jc w:val="both"/>
            </w:pPr>
            <w:r>
              <w:t xml:space="preserve">V</w:t>
            </w:r>
            <w:r>
              <w:rPr>
                <w:vertAlign w:val="subscript"/>
              </w:rPr>
              <w:t xml:space="preserve">п</w:t>
            </w:r>
            <w:r>
              <w:t xml:space="preserve"> - объем платежей в бюджетную систему Российской Федерации от использования лесов на землях лесного фонда на территории Новосибирской области за отчетный период, тыс. руб.;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rPr>
                <w:vertAlign w:val="subscript"/>
              </w:rPr>
              <w:t xml:space="preserve">лф</w:t>
            </w:r>
            <w:r>
              <w:t xml:space="preserve"> - площадь земель лесного фонда на территории Новосибирской области, тыс. га.</w:t>
            </w:r>
          </w:p>
          <w:p>
            <w:pPr>
              <w:pStyle w:val="ConsPlusNormal"/>
              <w:jc w:val="both"/>
            </w:pPr>
            <w:r>
              <w:t xml:space="preserve">1. </w:t>
            </w:r>
            <w:r>
              <w:t xml:space="preserve">Плановые значения целевого индикатора определяются ежегодно с учетом сложившихся среднемноголетних (5-летних) данных, а также с учетом доведенных до МПР НСО объемов поступлений доходов в бюджетную систему Российской Федерации от использования лесов Федеральным агентством лесного хозяйства, с учетом назначений, предусмотренных для Новосибирской области государственной программой Российской Федерации "Развитие лесного хозяйства", с учетом влияния мероприятий 1.1.1.1.2.2, 1.2.2.1.1.1, реализуемых в рамках государственной программы</w:t>
            </w:r>
            <w:r>
              <w:t xml:space="preserve">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</w:t>
            </w:r>
            <w:r>
              <w:t xml:space="preserve">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V</w:t>
            </w:r>
            <w:r>
              <w:t xml:space="preserve">п - форма 2-ОИП (ежемесячная) строка 50, графа 4;</w:t>
            </w:r>
          </w:p>
          <w:p>
            <w:pPr>
              <w:pStyle w:val="ConsPlusNormal"/>
              <w:jc w:val="both"/>
            </w:pPr>
            <w:r>
              <w:t xml:space="preserve">S - форма N 1-ГЛР (годовая) строка "Итого лесов", графа 2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6. Площадь лесных пожаров на землях лесного фонда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31570" cy="28321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8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3157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9.10pt;height:22.3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S - площадь лесного пожара, </w:t>
            </w:r>
            <w:r>
              <w:t xml:space="preserve">га</w:t>
            </w:r>
            <w:r>
              <w:t xml:space="preserve">;</w:t>
            </w:r>
          </w:p>
          <w:p>
            <w:pPr>
              <w:pStyle w:val="ConsPlusNormal"/>
              <w:jc w:val="both"/>
            </w:pPr>
            <w:r>
              <w:t xml:space="preserve">n - количество лесных пожаров.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утверждены постановлением Правительства Российской Федерации от 13.08.2022 N 1409 "Об утверждении </w:t>
            </w:r>
            <w:r>
              <w:t xml:space="preserve">методики расчета целевых показателей ежегодного сокращения площади лесных пожаров</w:t>
            </w:r>
            <w:r>
              <w:t xml:space="preserve"> на землях лесного фонда для субъектов Российской Федерации на период до 2030 года" с учетом влияния мероприятий 1.1.1.1.1.1.1 - 1.1.1.1.1.1.12,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п - форма 7-ОИП (ежеквартальная), раздел 1, строка 10, графа 9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7. Доля лесных пожаров, возникших по вине граждан, в общем количестве лесных пожаров,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Дгр = Q1 / Q2 x 100%, где</w:t>
            </w:r>
          </w:p>
          <w:p>
            <w:pPr>
              <w:pStyle w:val="ConsPlusNormal"/>
              <w:jc w:val="both"/>
            </w:pPr>
            <w:r>
              <w:t xml:space="preserve">Q1 - количество лесных пожаров по вине граждан с начала отчетного года, шт.;</w:t>
            </w:r>
          </w:p>
          <w:p>
            <w:pPr>
              <w:pStyle w:val="ConsPlusNormal"/>
              <w:jc w:val="both"/>
            </w:pPr>
            <w:r>
              <w:t xml:space="preserve">Q2 - общее количество лесных пожаров с начала отчетного года,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сложившихся среднемноголетних (5-летних) данных с учетом назначений, предусмотренных Лесным планом Новосибирской области, утвержденным постановлением Губернатора Новосибирской области от 10.01.2019 N 4, с учетом влияния мероприятий 1.1.1.1.1.1.8, 1.1.1.1.1.1.9,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Q1 - форма отчетности N 5-авиа;</w:t>
            </w:r>
          </w:p>
          <w:p>
            <w:pPr>
              <w:pStyle w:val="ConsPlusNormal"/>
              <w:jc w:val="both"/>
            </w:pPr>
            <w:r>
              <w:t xml:space="preserve">Q2 - форма отчетности N 5-авиа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8. Доля лесных пожаров, ликвидированных в течение первых суток с момента обнаружения, в общем количестве лесных пожаров,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Q</w:t>
            </w:r>
            <w:r>
              <w:t xml:space="preserve">пс = Qл / Qп x 100%, где</w:t>
            </w:r>
          </w:p>
          <w:p>
            <w:pPr>
              <w:pStyle w:val="ConsPlusNormal"/>
              <w:jc w:val="both"/>
            </w:pPr>
            <w:r>
              <w:t xml:space="preserve">Q</w:t>
            </w:r>
            <w:r>
              <w:t xml:space="preserve">пс - доля лесных пожаров, ликвидированных в течение первых суток с момента обнаружения, в общем количестве лесных пожаров;</w:t>
            </w:r>
          </w:p>
          <w:p>
            <w:pPr>
              <w:pStyle w:val="ConsPlusNormal"/>
              <w:jc w:val="both"/>
            </w:pPr>
            <w:r>
              <w:t xml:space="preserve">Q</w:t>
            </w:r>
            <w:r>
              <w:t xml:space="preserve">л - количество лесных пожаров, ликвидированных в течение первых суток с момента обнаружения, шт.;</w:t>
            </w:r>
          </w:p>
          <w:p>
            <w:pPr>
              <w:pStyle w:val="ConsPlusNormal"/>
              <w:jc w:val="both"/>
            </w:pPr>
            <w:r>
              <w:t xml:space="preserve">Q</w:t>
            </w:r>
            <w:r>
              <w:t xml:space="preserve">п - количество лесных пожаров, по которым осуществлялись мероприятия по тушению в отчетном году,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сложившихся среднемноголетних (5-летних) данных с учетом назначений, предусмотренных Лесным планом Новосибирской области, утвержденным постановлением Губернатора Новосибирской области от 10.01.2019 N 4, и государственной программой Российской Федерации "Развитие лесного хозяйства", с учетом влияния мероприятий О</w:t>
            </w:r>
            <w:r>
              <w:t xml:space="preserve">1</w:t>
            </w:r>
            <w:r>
              <w:t xml:space="preserve">.3, 1.1.1.1.1.1.1 - 1.1.1.1.1.1.7, 1.1.1.1.1.1.10 - 1.1.1.1.1.1.12,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Q</w:t>
            </w:r>
            <w:r>
              <w:t xml:space="preserve">л - форма 7-ОИП (полугодовая) раздел 1; строка 31, графа 7;</w:t>
            </w:r>
          </w:p>
          <w:p>
            <w:pPr>
              <w:pStyle w:val="ConsPlusNormal"/>
              <w:jc w:val="both"/>
            </w:pPr>
            <w:r>
              <w:t xml:space="preserve">Q</w:t>
            </w:r>
            <w:r>
              <w:t xml:space="preserve">п - форма 7-ОИП (полугодовая) раздел 1; строка 20, графа 7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2</w:t>
            </w:r>
            <w:r>
              <w:t xml:space="preserve">. Количество приобретенной техники для осуществления федерального государственного лесного </w:t>
            </w:r>
            <w:r>
              <w:t xml:space="preserve">контроля (надзора) и для охраны лесов от пожаров, шт.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за отчетный период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3825" cy="28321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9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3825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09.75pt;height:22.3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К</w:t>
            </w:r>
            <w:r>
              <w:t xml:space="preserve"> - количество приобретенной техники,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потребности и запланированного объема финансирования на </w:t>
            </w:r>
            <w:r>
              <w:t xml:space="preserve">мероприятие 1.1.1.1.1.1.10, реализуемого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Документ о передаче приобретенной техники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П3. Отношение площади ликвидированных очагов вредных организмов в лесах к площади очагов вредных организмов в лесах, требующих мер борьбы с ними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Овр = </w:t>
            </w:r>
            <w:r>
              <w:t xml:space="preserve">S</w:t>
            </w:r>
            <w:r>
              <w:t xml:space="preserve">ликв / Sтреб x 100%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ликв - площадь очагов вредных организмов, ликвидированная мерами борьбы, тыс. га;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треб - площадь очагов вредных организмов, требующих мер борьбы с ними, тыс. га.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запланированного объема финансирования по мероприятию 1.1.1.1.1.1.15, с учетом влияния мероприятий 1.1.1.1.1.1.13, 1.1.1.1.1.1.14,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 по итогам выполнения мероприятия 1.1.1.1.1.1.15, реализуемого в рамках государственной программы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ликв - форма 10-ОИП раздел 1, стр. 10, гр. 3/1000;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треб - форма 10-ОИП раздел 1, стр. 10, гр. 6/1000 (предыдущий год)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13. Доля площади погибших и поврежденных лесных насаждений с учетом проведенных мероприятий по защите леса в общей площади земель лесного фонда, занятых </w:t>
            </w:r>
            <w:r>
              <w:t xml:space="preserve">лесными насаждениями,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Дло = </w:t>
            </w:r>
            <w:r>
              <w:t xml:space="preserve">S</w:t>
            </w:r>
            <w:r>
              <w:t xml:space="preserve">повр / Sзлн x 100</w:t>
            </w:r>
          </w:p>
          <w:p>
            <w:pPr>
              <w:pStyle w:val="ConsPlusNormal"/>
              <w:jc w:val="both"/>
            </w:pPr>
            <w:r>
              <w:t xml:space="preserve">Sповр - площадь погибших и поврежденных лесных насаждений с усыханием более 40% накопительным итогом с учетом проведенных мероприятий за отчетный год, </w:t>
            </w:r>
            <w:r>
              <w:t xml:space="preserve">га</w:t>
            </w:r>
            <w:r>
              <w:t xml:space="preserve">;</w:t>
            </w:r>
          </w:p>
          <w:p>
            <w:pPr>
              <w:pStyle w:val="ConsPlusNormal"/>
              <w:jc w:val="both"/>
            </w:pPr>
            <w:r>
              <w:t xml:space="preserve">Sзлн - площадь занятых лесными насаждениями земель лесного фонда на территории субъекта за год, предшествующий отчетному, </w:t>
            </w:r>
            <w:r>
              <w:t xml:space="preserve">га</w:t>
            </w:r>
            <w:r>
              <w:t xml:space="preserve">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запланированного объема финансирования с учетом назначений, </w:t>
            </w:r>
            <w:r>
              <w:t xml:space="preserve">предусмотренных Лесным планом Новосибирской области, утвержденным постановлением Губернатора Новосибирской области от 10.01.2019 N, а также с учетом назначений, предусмотренных для Новосибирской области государственной программой Российской Федерации "Развитие лесного хозяйства", с учетом влияния мероприятий О</w:t>
            </w:r>
            <w:r>
              <w:t xml:space="preserve">1</w:t>
            </w:r>
            <w:r>
              <w:t xml:space="preserve">.3, 1.1.1.1.1.1.13 - 1.1.1.1.1.1.16,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 по итогам выполнения мероприятий 1.1.1.1.1.1.13 - 1.1.1.1.1.1.16, реализуемых в рамках государственной программы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повр - форма 10-ОИП раздел 2, стр. 80, гр. 5;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злн - форма 1-ГЛР стр. "Итого лесов" гр. 3 x 1000 (за текущий год)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4</w:t>
            </w:r>
            <w:r>
              <w:t xml:space="preserve">. Количество обследованных пунктов учета очагов вредных организмов, шт.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за отчетный период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3825" cy="28321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9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3825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09.75pt;height:22.3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К</w:t>
            </w:r>
            <w:r>
              <w:t xml:space="preserve"> - количество актов проведения обследования насаждений в очагах вредных организмов, шт.;</w:t>
            </w:r>
          </w:p>
          <w:p>
            <w:pPr>
              <w:pStyle w:val="ConsPlusNormal"/>
              <w:jc w:val="both"/>
            </w:pPr>
            <w:r>
              <w:t xml:space="preserve">n - количество обследованных пунктов учета очагов вредных организмов,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потребности и запланированного объема финансирования на мероприятие 1.1.1.1.1.1.14, реализуемого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 по итогам реализации мероприятия 1.1.1.1.1.1.14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 соответствии с актами проведения обследования насаждений в очагах вредных организмов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16. Площадь отвода и таксации лесосек, тыс. га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за отчетный период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68095" cy="283210"/>
                      <wp:effectExtent l="0" t="0" r="0" b="0"/>
                      <wp:docPr id="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8095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99.85pt;height:22.3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отв - площадь отвода и таксации лесосеки, тыс. га;</w:t>
            </w:r>
          </w:p>
          <w:p>
            <w:pPr>
              <w:pStyle w:val="ConsPlusNormal"/>
              <w:jc w:val="both"/>
            </w:pPr>
            <w:r>
              <w:t xml:space="preserve">n - количество отведенных лесосек,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в соответствии с запланированным объемом финансирования на реализацию мероприятия 1.1.1.1.2.2.1, реализуемого в рамках государственной программы, с учетом назначений, предусмотренных Лесным планом Новосибирской области, утвержденным постановлением Губернатора Новосибирской области от 10.01.2019 N 4.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 по итогам реализации мероприятия 1.1.1.1.2.2.1, реализуемого в рамках государственной программы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в соответствии с актами выполненных работ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17. Доля площадей земель лесного фонда, переданных в пользование, в общей площади земель лесного фонда на территории Новосибирской области,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за отчетный период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пп = (Sар / Sлф) x 100%, где</w:t>
            </w:r>
          </w:p>
          <w:p>
            <w:pPr>
              <w:pStyle w:val="ConsPlusNormal"/>
              <w:jc w:val="both"/>
            </w:pPr>
            <w:r>
              <w:t xml:space="preserve">Sпп - доля площади земель лесного фонда, переданных в пользование, в общей площади земель лесного фонда на территории Новосибирской области</w:t>
            </w:r>
            <w:r>
              <w:t xml:space="preserve">, %;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ар - площадь лесов, переданных в аренду, постоянное (бессрочное) и безвозмездное пользование за отчетный период, тыс. га;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лф - площадь земель лесного фонда на территории субъекта, тыс. га.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сложившихся среднемноголетних (5-летних) данных с учетом назначений, предусмотренных Лесным планом Новосибирской области, утвержденным постановлением Губернатора Новосибирской области от 10.01.2019 N 4, и государственной программой Российской Федерации "Развитие лесного хозяйства", с учетом влияния мероприятий </w:t>
            </w:r>
            <w:r>
              <w:t xml:space="preserve">1.1.1.1.2.2,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Sар - форма 6-ОИП (полугодовая (Аренда + ПБП + БП, отчеты из АРМ 6-ОИП:</w:t>
            </w:r>
          </w:p>
          <w:p>
            <w:pPr>
              <w:pStyle w:val="ConsPlusNormal"/>
              <w:jc w:val="both"/>
            </w:pPr>
            <w:r>
              <w:t xml:space="preserve">(("6-ОИП_Аренда_2_Характеристика", стр. "Итого", гр. 1) + ("6-ОИП_ПБП_2_Характеристика", стр. "Итого", гр. 1) + ("6-ОИП_БП_2_Характеристика", стр. "Итого", гр. 1));</w:t>
            </w:r>
          </w:p>
          <w:p>
            <w:pPr>
              <w:pStyle w:val="ConsPlusNormal"/>
              <w:jc w:val="both"/>
            </w:pPr>
            <w:r>
              <w:t xml:space="preserve">S</w:t>
            </w:r>
            <w:r>
              <w:t xml:space="preserve">лф - форма 1-ГЛР (годовая), строка </w:t>
            </w:r>
            <w:r>
              <w:t xml:space="preserve">"Всего лесов, в отношении которых проводилось лесоустройство", графа 2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18. Доля объема заготовки древесины выборочными рубками в общем объеме заготовки древесины,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Двыб = V1 / V2 x 100%, где</w:t>
            </w:r>
          </w:p>
          <w:p>
            <w:pPr>
              <w:pStyle w:val="ConsPlusNormal"/>
              <w:jc w:val="both"/>
            </w:pPr>
            <w:r>
              <w:t xml:space="preserve">V1 - объем выборочных рубок с начала отчетного года, куб. </w:t>
            </w:r>
            <w:r>
              <w:t xml:space="preserve">м</w:t>
            </w:r>
            <w:r>
              <w:t xml:space="preserve">;</w:t>
            </w:r>
          </w:p>
          <w:p>
            <w:pPr>
              <w:pStyle w:val="ConsPlusNormal"/>
              <w:jc w:val="both"/>
            </w:pPr>
            <w:r>
              <w:t xml:space="preserve">V2 - общий объем заготовки древесины с начала отчетного года, куб. </w:t>
            </w:r>
            <w:r>
              <w:t xml:space="preserve">м</w:t>
            </w:r>
            <w:r>
              <w:t xml:space="preserve">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сложившихся среднемноголетних (5-летних) данных с учетом назначений, предусмотренных Лесным планом Новосибирской области, утвержденным постановлением Губернатора Новосибирской области от 10.01.2019 N 4, с учетом влияния мероприятий 1.1.1.1.1.1.16.2, 1.1.1.1.3.1.1, 1.1.1.1.2.2.1.1,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V1 - форма отчетности 12-ОИП "Сведения об отводе лесосек и рубки лесных насаждений";</w:t>
            </w:r>
          </w:p>
          <w:p>
            <w:pPr>
              <w:pStyle w:val="ConsPlusNormal"/>
              <w:jc w:val="both"/>
            </w:pPr>
            <w:r>
              <w:t xml:space="preserve">V2 - форма отчетности 12-ОИП "Сведения об отводе лесосек и рубки лесных насаждений"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П5. Площадь проведения санитарно-оздоровительных мероприятий на территории ООПТ "Дендрологический парк", </w:t>
            </w:r>
            <w:r>
              <w:t xml:space="preserve">га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7645" cy="283210"/>
                      <wp:effectExtent l="0" t="0" r="0" b="0"/>
                      <wp:docPr id="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1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7645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16.35pt;height:22.3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Sсом - площадь санитарно-оздоровительных мероприятий с начала отчетного года, </w:t>
            </w:r>
            <w:r>
              <w:t xml:space="preserve">га</w:t>
            </w:r>
            <w:r>
              <w:t xml:space="preserve">;</w:t>
            </w:r>
          </w:p>
          <w:p>
            <w:pPr>
              <w:pStyle w:val="ConsPlusNormal"/>
              <w:jc w:val="both"/>
            </w:pPr>
            <w:r>
              <w:t xml:space="preserve">n - количество участков, на которых проведены санитарно-оздоровительные мероприятия,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сложившихся среднемноголетних (5-летних) данных с учетом назначений, предусмотренных Лесным планом </w:t>
            </w:r>
            <w:r>
              <w:t xml:space="preserve">Новосибирской области, с учетом влияния мероприятия 1.1.1.1.2.3, реализуемого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Отчет о выполнении государственного задания ГАУ НСО "Новосибирская авиабаза"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6</w:t>
            </w:r>
            <w:r>
              <w:t xml:space="preserve">. Протяженность отремонтированных дорожек на территории ООПТ "Дендрологический парк", пог. м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66240" cy="283210"/>
                      <wp:effectExtent l="0" t="0" r="0" b="0"/>
                      <wp:docPr id="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2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6624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31.20pt;height:22.3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Пдор - протяженность отремонтированных дорожек с начала отчетного периода, пог. м;</w:t>
            </w:r>
          </w:p>
          <w:p>
            <w:pPr>
              <w:pStyle w:val="ConsPlusNormal"/>
              <w:jc w:val="both"/>
            </w:pPr>
            <w:r>
              <w:t xml:space="preserve">n - количество участков отремонтированных дорожек,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предусмотренного финансирования, с учетом влияния мероприятия 1.1.1.1.2.3, реализуемого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Отчет о выполнении государственного задания ГАУ НСО "Новосибирская авиабаза"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7</w:t>
            </w:r>
            <w:r>
              <w:t xml:space="preserve">. Количество разработанной проектно-сметной документации, шт.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82420" cy="283210"/>
                      <wp:effectExtent l="0" t="0" r="0" b="0"/>
                      <wp:docPr id="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3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8242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4.60pt;height:22.3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ПСД - проектно-сметная документация по изменению границ лесопарковых зеленых зон;</w:t>
            </w:r>
          </w:p>
          <w:p>
            <w:pPr>
              <w:pStyle w:val="ConsPlusNormal"/>
              <w:jc w:val="both"/>
            </w:pPr>
            <w:r>
              <w:t xml:space="preserve">n - количество разработанной проектно-сметной документации по изменению границ лесопарковых зеленых зон,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предусмотренного финансирования,</w:t>
            </w:r>
          </w:p>
          <w:p>
            <w:pPr>
              <w:pStyle w:val="ConsPlusNormal"/>
              <w:jc w:val="both"/>
            </w:pPr>
            <w:r>
              <w:t xml:space="preserve">с учетом влияния мероприятия 1.1.1.1.2.4, реализуемого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</w:t>
            </w:r>
            <w:r>
              <w:t xml:space="preserve">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Акты выполненных работ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П8. Количество лесохозяйственных участков Новосибирской области, в отношении которых оцифрованы материалы лесоустройства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24330" cy="283210"/>
                      <wp:effectExtent l="0" t="0" r="0" b="0"/>
                      <wp:docPr id="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4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2433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27.90pt;height:22.3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К</w:t>
            </w:r>
            <w:r>
              <w:t xml:space="preserve"> - количество актов выполненных работ, шт.;</w:t>
            </w:r>
          </w:p>
          <w:p>
            <w:pPr>
              <w:pStyle w:val="ConsPlusNormal"/>
              <w:jc w:val="both"/>
            </w:pPr>
            <w:r>
              <w:t xml:space="preserve">n - количество лесохозяйственных участков,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потребности и запланированного объема финансирования на мероприятие 1.1.1.1.2.5, реализуемого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 1.1.1.1.2.5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Акты выполненных работ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19. Доля семян с улучшенными наследственными свойствами в общем объеме заготовленных семян,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D</w:t>
            </w:r>
            <w:r>
              <w:t xml:space="preserve">сем.ус. = </w:t>
            </w:r>
            <w:r>
              <w:t xml:space="preserve">V</w:t>
            </w:r>
            <w:r>
              <w:t xml:space="preserve">сем.ус. / </w:t>
            </w:r>
            <w:r>
              <w:t xml:space="preserve">V</w:t>
            </w:r>
            <w:r>
              <w:t xml:space="preserve">сем. общ x 100, где</w:t>
            </w:r>
          </w:p>
          <w:p>
            <w:pPr>
              <w:pStyle w:val="ConsPlusNormal"/>
              <w:jc w:val="both"/>
            </w:pPr>
            <w:r>
              <w:t xml:space="preserve">D</w:t>
            </w:r>
            <w:r>
              <w:t xml:space="preserve">сем.ус. - доля семян с улучшенными наследственными свойствами в общем объеме заготовленных семян, %;</w:t>
            </w:r>
          </w:p>
          <w:p>
            <w:pPr>
              <w:pStyle w:val="ConsPlusNormal"/>
              <w:jc w:val="both"/>
            </w:pPr>
            <w:r>
              <w:t xml:space="preserve">Vсем.ус</w:t>
            </w:r>
            <w:r>
              <w:t xml:space="preserve">.</w:t>
            </w:r>
            <w:r>
              <w:t xml:space="preserve"> - </w:t>
            </w:r>
            <w:r>
              <w:t xml:space="preserve">о</w:t>
            </w:r>
            <w:r>
              <w:t xml:space="preserve">бъем заготовки семян с улучшенными наследственными свойствами за отчетный период, кг;</w:t>
            </w:r>
          </w:p>
          <w:p>
            <w:pPr>
              <w:pStyle w:val="ConsPlusNormal"/>
              <w:jc w:val="both"/>
            </w:pPr>
            <w:r>
              <w:t xml:space="preserve">Vсем. общ - общий объем заготовленных семян на территории субъекта за отчетный период, </w:t>
            </w:r>
            <w:r>
              <w:t xml:space="preserve">кг</w:t>
            </w:r>
            <w:r>
              <w:t xml:space="preserve">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сложившихся среднемноголетних (5-летних) данных с учетом назначений, предусмотренных Лесным планом Новосибирской области, утвержденным постановлением Губернатора Новосибирской области от 10.01.2019 N 4, а также с учетом назначений, предусмотренных для Новосибирской области государственной программой Российской Федерации "Развитие лесного хозяйства" с учетом влияния </w:t>
            </w:r>
            <w:r>
              <w:t xml:space="preserve">мероприятия О</w:t>
            </w:r>
            <w:r>
              <w:t xml:space="preserve">1</w:t>
            </w:r>
            <w:r>
              <w:t xml:space="preserve">.1, О1.2,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Vсем ус</w:t>
            </w:r>
            <w:r>
              <w:t xml:space="preserve">.</w:t>
            </w:r>
            <w:r>
              <w:t xml:space="preserve"> - </w:t>
            </w:r>
            <w:r>
              <w:t xml:space="preserve">ф</w:t>
            </w:r>
            <w:r>
              <w:t xml:space="preserve">орма 11-ОИП (годовая) раздел III, строка 11, графа 9;</w:t>
            </w:r>
          </w:p>
          <w:p>
            <w:pPr>
              <w:pStyle w:val="ConsPlusNormal"/>
              <w:jc w:val="both"/>
            </w:pPr>
            <w:r>
              <w:t xml:space="preserve">V</w:t>
            </w:r>
            <w:r>
              <w:t xml:space="preserve">сем общ - форма 11-ОИП (годовая) раздел III, строка 11, графа 8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П</w:t>
            </w:r>
            <w:r>
              <w:t xml:space="preserve">9</w:t>
            </w:r>
            <w:r>
              <w:t xml:space="preserve">. Площадь дополнения лесных культур, </w:t>
            </w:r>
            <w:r>
              <w:t xml:space="preserve">га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34490" cy="283210"/>
                      <wp:effectExtent l="0" t="0" r="0" b="0"/>
                      <wp:docPr id="1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5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3449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28.70pt;height:22.3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Sдоп - площадь дополнения лесных культур с начала отчетного периода, </w:t>
            </w:r>
            <w:r>
              <w:t xml:space="preserve">га</w:t>
            </w:r>
            <w:r>
              <w:t xml:space="preserve">;</w:t>
            </w:r>
          </w:p>
          <w:p>
            <w:pPr>
              <w:pStyle w:val="ConsPlusNormal"/>
              <w:jc w:val="both"/>
            </w:pPr>
            <w:r>
              <w:t xml:space="preserve">n - количество площадей лесных участков, на которых проведено дополнение лесных культур,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по результатам инвентаризации лесных культур с учетом назначений, предусмотренных Лесным планом Новосибирской области, утвержденным постановлением Губернатора Новосибирской области от 10.01.2019 N 4, с учетом влияния мероприятий О</w:t>
            </w:r>
            <w:r>
              <w:t xml:space="preserve">1</w:t>
            </w:r>
            <w:r>
              <w:t xml:space="preserve">.1, О1.3, реализуемых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 с учетом итогов реализации мероприятия О</w:t>
            </w:r>
            <w:r>
              <w:t xml:space="preserve">1</w:t>
            </w:r>
            <w:r>
              <w:t xml:space="preserve">.1.7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Акты выполненных работ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25. Динамика предотвращения возникновения нарушений лесного законодательства, причиняющих вред лесам, относительно уровня нарушений предыдущего года,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100 - (</w:t>
            </w:r>
            <w:r>
              <w:t xml:space="preserve">N</w:t>
            </w:r>
            <w:r>
              <w:t xml:space="preserve">о / Nп) x 100, где</w:t>
            </w:r>
          </w:p>
          <w:p>
            <w:pPr>
              <w:pStyle w:val="ConsPlusNormal"/>
              <w:jc w:val="both"/>
            </w:pPr>
            <w:r>
              <w:t xml:space="preserve">N</w:t>
            </w:r>
            <w:r>
              <w:t xml:space="preserve">о - количество нарушений лесного законодательства за отчетный год, шт.;</w:t>
            </w:r>
          </w:p>
          <w:p>
            <w:pPr>
              <w:pStyle w:val="ConsPlusNormal"/>
              <w:jc w:val="both"/>
            </w:pPr>
            <w:r>
              <w:t xml:space="preserve">N</w:t>
            </w:r>
            <w:r>
              <w:t xml:space="preserve">п - количество нарушений лесного законодательства за аналогичный период предыдущего года, шт.</w:t>
            </w:r>
          </w:p>
          <w:p>
            <w:pPr>
              <w:pStyle w:val="ConsPlusNormal"/>
              <w:jc w:val="both"/>
            </w:pPr>
            <w:r>
              <w:t xml:space="preserve">1. </w:t>
            </w:r>
            <w:r>
              <w:t xml:space="preserve">Плановые значения целевого индикатора определяются ежегодно с учетом сложившихся среднемноголетних (5-летних) данных с учетом назначений, предусмотренных Лесным планом Новосибирской области, утвержденным </w:t>
            </w:r>
            <w:r>
              <w:t xml:space="preserve">постановлением Губернатора Новосибирской области от 10.01.2019 N 4, а также с учетом назначений, предусмотренных для Новосибирской области государственной программой Российской Федерации "Развитие лесного хозяйства", с учетом влияния мероприятия 1.2.2.1.1.1, реализуемого в рамках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N</w:t>
            </w:r>
            <w:r>
              <w:t xml:space="preserve">о - форма отчетности 8-ОИП, раздел 3, строка 300, гр. 1;</w:t>
            </w:r>
          </w:p>
          <w:p>
            <w:pPr>
              <w:pStyle w:val="ConsPlusNormal"/>
              <w:jc w:val="both"/>
            </w:pPr>
            <w:r>
              <w:t xml:space="preserve">N</w:t>
            </w:r>
            <w:r>
              <w:t xml:space="preserve">п - форма отчетности 8-ОИП раздел 3, строка 300, гр. 1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П10. Количество приобретенной автомобильной техники для осуществления мер по выявлению нарушений лесного законодательства, незаконной заготовки и оборота древесины на территории Новосибирской области, шт.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rPr>
                <w:position w:val="-1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4940" cy="283210"/>
                      <wp:effectExtent l="0" t="0" r="0" b="0"/>
                      <wp:docPr id="1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6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494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12.20pt;height:22.3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  <w:p>
            <w:pPr>
              <w:pStyle w:val="ConsPlusNormal"/>
              <w:jc w:val="both"/>
            </w:pPr>
            <w:r>
              <w:t xml:space="preserve">К</w:t>
            </w:r>
            <w:r>
              <w:t xml:space="preserve"> - количество приобретенной специализированной автомобильной техники, шт.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потребности и запланированного объема финансирования на мероприятие 1.2.2.1.1.2.1.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 с учетом итогов реализации мероприятия 1.2.2.1.1.2.1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Документ о передаче приобретенной техники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30. Доля специалистов лесного хозяйства, прошедших повышение квалификации, в общей </w:t>
            </w:r>
            <w:r>
              <w:t xml:space="preserve">численности работников лесного хозяйства,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полугодовая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Д пов.кв. = К пов.кв. / К общ</w:t>
            </w:r>
            <w:r>
              <w:t xml:space="preserve">.х</w:t>
            </w:r>
            <w:r>
              <w:t xml:space="preserve"> x 100%, где</w:t>
            </w:r>
          </w:p>
          <w:p>
            <w:pPr>
              <w:pStyle w:val="ConsPlusNormal"/>
              <w:jc w:val="both"/>
            </w:pPr>
            <w:r>
              <w:t xml:space="preserve">К пов.кв. - количество работников лесного хозяйства, повысивших квалификацию с начала отчетного года, чел.;</w:t>
            </w:r>
          </w:p>
          <w:p>
            <w:pPr>
              <w:pStyle w:val="ConsPlusNormal"/>
              <w:jc w:val="both"/>
            </w:pPr>
            <w:r>
              <w:t xml:space="preserve">К общ</w:t>
            </w:r>
            <w:r>
              <w:t xml:space="preserve">.х</w:t>
            </w:r>
            <w:r>
              <w:t xml:space="preserve"> - среднесписочная численность работников лесного хозяйства, чел.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запланированных объемов финансирования с учетом влияния мероприятия 1.2.2.1.2.2.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К пов.кв. - отчетность, предоставляемая подведомственными учреждениями и предприятиями;</w:t>
            </w:r>
          </w:p>
          <w:p>
            <w:pPr>
              <w:pStyle w:val="ConsPlusNormal"/>
              <w:jc w:val="both"/>
            </w:pPr>
            <w:r>
              <w:t xml:space="preserve">К общ</w:t>
            </w:r>
            <w:r>
              <w:t xml:space="preserve">.х</w:t>
            </w:r>
            <w:r>
              <w:t xml:space="preserve"> - отчетность, </w:t>
            </w:r>
            <w:r>
              <w:t xml:space="preserve">предоставляемая подведомственными учреждениями и предприятиями</w:t>
            </w:r>
          </w:p>
        </w:tc>
      </w:tr>
      <w:tr>
        <w:tc>
          <w:tcPr>
            <w:tcW w:w="2211" w:type="dxa"/>
          </w:tcPr>
          <w:p>
            <w:pPr>
              <w:pStyle w:val="ConsPlusNormal"/>
            </w:pPr>
            <w:r>
              <w:t xml:space="preserve">31. Прирост производительности труда в лесном секторе Новосибирской области к предыдущему году, %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годовая</w:t>
            </w:r>
          </w:p>
        </w:tc>
        <w:tc>
          <w:tcPr>
            <w:tcW w:w="1020" w:type="dxa"/>
          </w:tcPr>
          <w:p>
            <w:pPr>
              <w:pStyle w:val="ConsPlusNormal"/>
              <w:jc w:val="center"/>
            </w:pPr>
            <w:r>
              <w:t xml:space="preserve">на конец периода</w:t>
            </w:r>
          </w:p>
        </w:tc>
        <w:tc>
          <w:tcPr>
            <w:tcW w:w="6633" w:type="dxa"/>
          </w:tcPr>
          <w:p>
            <w:pPr>
              <w:pStyle w:val="ConsPlusNormal"/>
              <w:jc w:val="both"/>
            </w:pPr>
            <w:r>
              <w:t xml:space="preserve">Расчет значения целевого индикатора производится по формуле:</w:t>
            </w:r>
          </w:p>
          <w:p>
            <w:pPr>
              <w:pStyle w:val="ConsPlusNormal"/>
              <w:jc w:val="both"/>
            </w:pPr>
            <w:r>
              <w:t xml:space="preserve">ПР</w:t>
            </w:r>
            <w:r>
              <w:t xml:space="preserve"> = П1 / П2 x 100% - 100%, где</w:t>
            </w:r>
          </w:p>
          <w:p>
            <w:pPr>
              <w:pStyle w:val="ConsPlusNormal"/>
              <w:jc w:val="both"/>
            </w:pPr>
            <w:r>
              <w:t xml:space="preserve">П</w:t>
            </w:r>
            <w:r>
              <w:t xml:space="preserve">1</w:t>
            </w:r>
            <w:r>
              <w:t xml:space="preserve"> - производительность труда в лесном секторе Новосибирской области за отчетный год, руб./чел.;</w:t>
            </w:r>
          </w:p>
          <w:p>
            <w:pPr>
              <w:pStyle w:val="ConsPlusNormal"/>
              <w:jc w:val="both"/>
            </w:pPr>
            <w:r>
              <w:t xml:space="preserve">П</w:t>
            </w:r>
            <w:r>
              <w:t xml:space="preserve">2</w:t>
            </w:r>
            <w:r>
              <w:t xml:space="preserve"> - производительность труда в лесном секторе Новосибирской области за предыдущий год, руб./чел.</w:t>
            </w:r>
          </w:p>
          <w:p>
            <w:pPr>
              <w:pStyle w:val="ConsPlusNormal"/>
              <w:jc w:val="both"/>
            </w:pPr>
            <w:r>
              <w:t xml:space="preserve">1. Плановые значения целевого индикатора определяются ежегодно с учетом сложившихся среднемноголетних (5-летних) данных с учетом планирования производственной деятельности подведомственных предприятий, в том числе с учетом влияния мероприятий государственной программы.</w:t>
            </w:r>
          </w:p>
          <w:p>
            <w:pPr>
              <w:pStyle w:val="ConsPlusNormal"/>
              <w:jc w:val="both"/>
            </w:pPr>
            <w:r>
              <w:t xml:space="preserve">2. Фактическое значение рассчитывается по указанной формуле</w:t>
            </w:r>
          </w:p>
        </w:tc>
        <w:tc>
          <w:tcPr>
            <w:tcW w:w="2721" w:type="dxa"/>
          </w:tcPr>
          <w:p>
            <w:pPr>
              <w:pStyle w:val="ConsPlusNormal"/>
              <w:jc w:val="both"/>
            </w:pPr>
            <w:r>
              <w:t xml:space="preserve">Ведомственная отчетность МПР НСО:</w:t>
            </w:r>
          </w:p>
          <w:p>
            <w:pPr>
              <w:pStyle w:val="ConsPlusNormal"/>
              <w:jc w:val="both"/>
            </w:pPr>
            <w:r>
              <w:t xml:space="preserve">П</w:t>
            </w:r>
            <w:r>
              <w:t xml:space="preserve">1</w:t>
            </w:r>
            <w:r>
              <w:t xml:space="preserve"> - рассчитывается как отношение валовой выручки на предприятиях лесного сектора Новосибирской области за отчетный год к среднесписочной численности работников на предприятиях лесного сектора за отчетный год;</w:t>
            </w:r>
          </w:p>
          <w:p>
            <w:pPr>
              <w:pStyle w:val="ConsPlusNormal"/>
              <w:jc w:val="both"/>
            </w:pPr>
            <w:r>
              <w:t xml:space="preserve">П</w:t>
            </w:r>
            <w:r>
              <w:t xml:space="preserve">2</w:t>
            </w:r>
            <w:r>
              <w:t xml:space="preserve"> - рассчитывается как отношение валовой выручки на предприятиях лесного сектора Новосибирской области за предыдущий год к среднесписочной численности работников на предприятиях лесного сектора за </w:t>
            </w:r>
            <w:r>
              <w:t xml:space="preserve">предыдущий год.</w:t>
            </w:r>
          </w:p>
          <w:p>
            <w:pPr>
              <w:pStyle w:val="ConsPlusNormal"/>
              <w:jc w:val="both"/>
            </w:pPr>
            <w:r>
              <w:t xml:space="preserve">Валовая выручка - предоставляемая лесопользователями. Среднесписочная численность работников лесного сектора Новосибирской области - предоставляемая лесопользователями</w:t>
            </w:r>
          </w:p>
        </w:tc>
      </w:tr>
    </w:tbl>
    <w:p>
      <w:pPr>
        <w:pStyle w:val="ConsPlusNormal"/>
        <w:sectPr>
          <w:pgSz w:w="16838" w:h="11905" w:orient="landscape"/>
          <w:pgMar w:top="1701" w:right="1134" w:bottom="850" w:left="1134" w:header="0" w:footer="0" w:gutter="0"/>
          <w:cols w:space="720"/>
          <w:docGrid w:linePitch="360"/>
          <w:titlePg/>
        </w:sectPr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Применяемые сокращения:</w:t>
      </w:r>
    </w:p>
    <w:p>
      <w:pPr>
        <w:pStyle w:val="ConsPlusNormal"/>
        <w:spacing w:before="220"/>
        <w:ind w:firstLine="540"/>
        <w:jc w:val="both"/>
      </w:pPr>
      <w:r>
        <w:t xml:space="preserve">МПР НСО - министерство природных ресурсов и экологии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ООПТ "Дендрологический парк" - особо охраняемая природная территория регионального значения Новосибирской области - памятник природы областного значения "Дендрологический парк".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t xml:space="preserve">Таблица N 3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r>
        <w:t xml:space="preserve">Подробный перечень</w:t>
      </w:r>
    </w:p>
    <w:p>
      <w:pPr>
        <w:pStyle w:val="ConsPlusTitle"/>
        <w:jc w:val="center"/>
      </w:pPr>
      <w:r>
        <w:t xml:space="preserve">планируемых к реализации мероприятий государственной</w:t>
      </w:r>
    </w:p>
    <w:p>
      <w:pPr>
        <w:pStyle w:val="ConsPlusTitle"/>
        <w:jc w:val="center"/>
      </w:pPr>
      <w:r>
        <w:t xml:space="preserve">программы Новосибирской области "Развитие лесного хозяйства</w:t>
      </w:r>
    </w:p>
    <w:p>
      <w:pPr>
        <w:pStyle w:val="ConsPlusTitle"/>
        <w:jc w:val="center"/>
      </w:pPr>
      <w:r>
        <w:t xml:space="preserve">Новосибирской области" на очередной 2023 год</w:t>
      </w:r>
    </w:p>
    <w:p>
      <w:pPr>
        <w:pStyle w:val="ConsPlusNormal"/>
        <w:jc w:val="center"/>
      </w:pPr>
      <w:r>
        <w:t xml:space="preserve">(в ред. приказа МПР Новосибирской области</w:t>
      </w:r>
    </w:p>
    <w:p>
      <w:pPr>
        <w:pStyle w:val="ConsPlusNormal"/>
        <w:jc w:val="center"/>
      </w:pPr>
      <w:r>
        <w:t xml:space="preserve">от 29.03.2024 N 340-НПА)</w:t>
      </w:r>
    </w:p>
    <w:p>
      <w:pPr>
        <w:pStyle w:val="ConsPlusNormal"/>
        <w:ind w:firstLine="540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737"/>
        <w:gridCol w:w="567"/>
        <w:gridCol w:w="567"/>
        <w:gridCol w:w="1644"/>
        <w:gridCol w:w="567"/>
        <w:gridCol w:w="1252"/>
        <w:gridCol w:w="1252"/>
        <w:gridCol w:w="1361"/>
        <w:gridCol w:w="2371"/>
      </w:tblGrid>
      <w:tr>
        <w:tc>
          <w:tcPr>
            <w:tcW w:w="1701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Наименование мероприятия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Наименование показателя</w:t>
            </w:r>
          </w:p>
        </w:tc>
        <w:tc>
          <w:tcPr>
            <w:tcW w:w="4082" w:type="dxa"/>
            <w:gridSpan w:val="5"/>
            <w:vAlign w:val="center"/>
          </w:tcPr>
          <w:p>
            <w:pPr>
              <w:pStyle w:val="ConsPlusNormal"/>
              <w:jc w:val="center"/>
            </w:pPr>
            <w:r>
              <w:t xml:space="preserve">Код бюджетной классификации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pStyle w:val="ConsPlusNormal"/>
              <w:jc w:val="center"/>
            </w:pPr>
            <w:r>
              <w:t xml:space="preserve">Значение показателя на очередной финансовый 2023 год, в том числе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Ответственный исполнитель</w:t>
            </w:r>
          </w:p>
        </w:tc>
        <w:tc>
          <w:tcPr>
            <w:tcW w:w="2371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 xml:space="preserve">Ожидаемый результат (краткое описание)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  <w:vAlign w:val="center"/>
          </w:tcPr>
          <w:p>
            <w:pPr>
              <w:pStyle w:val="ConsPlusNormal"/>
              <w:jc w:val="center"/>
            </w:pPr>
            <w:r>
              <w:t xml:space="preserve">ГРБС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РЗ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ПР</w:t>
            </w:r>
          </w:p>
        </w:tc>
        <w:tc>
          <w:tcPr>
            <w:tcW w:w="1644" w:type="dxa"/>
            <w:vAlign w:val="center"/>
          </w:tcPr>
          <w:p>
            <w:pPr>
              <w:pStyle w:val="ConsPlusNormal"/>
              <w:jc w:val="center"/>
            </w:pPr>
            <w:r>
              <w:t xml:space="preserve">ЦСР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ВР</w:t>
            </w:r>
          </w:p>
        </w:tc>
        <w:tc>
          <w:tcPr>
            <w:tcW w:w="1252" w:type="dxa"/>
            <w:vAlign w:val="center"/>
          </w:tcPr>
          <w:p>
            <w:pPr>
              <w:pStyle w:val="ConsPlusNormal"/>
              <w:jc w:val="center"/>
            </w:pPr>
            <w:r>
              <w:t xml:space="preserve">6 месяцев</w:t>
            </w:r>
          </w:p>
        </w:tc>
        <w:tc>
          <w:tcPr>
            <w:tcW w:w="1252" w:type="dxa"/>
            <w:vAlign w:val="center"/>
          </w:tcPr>
          <w:p>
            <w:pPr>
              <w:pStyle w:val="ConsPlusNormal"/>
              <w:jc w:val="center"/>
            </w:pPr>
            <w:r>
              <w:t xml:space="preserve">12 месяцев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Align w:val="center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1587" w:type="dxa"/>
            <w:vAlign w:val="center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1644" w:type="dxa"/>
            <w:vAlign w:val="center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567" w:type="dxa"/>
            <w:vAlign w:val="center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  <w:tc>
          <w:tcPr>
            <w:tcW w:w="1252" w:type="dxa"/>
            <w:vAlign w:val="center"/>
          </w:tcPr>
          <w:p>
            <w:pPr>
              <w:pStyle w:val="ConsPlusNormal"/>
              <w:jc w:val="center"/>
            </w:pPr>
            <w:r>
              <w:t xml:space="preserve">8</w:t>
            </w:r>
          </w:p>
        </w:tc>
        <w:tc>
          <w:tcPr>
            <w:tcW w:w="1252" w:type="dxa"/>
            <w:vAlign w:val="center"/>
          </w:tcPr>
          <w:p>
            <w:pPr>
              <w:pStyle w:val="ConsPlusNormal"/>
              <w:jc w:val="center"/>
            </w:pPr>
            <w:r>
              <w:t xml:space="preserve">9</w:t>
            </w:r>
          </w:p>
        </w:tc>
        <w:tc>
          <w:tcPr>
            <w:tcW w:w="1361" w:type="dxa"/>
            <w:vAlign w:val="center"/>
          </w:tcPr>
          <w:p>
            <w:pPr>
              <w:pStyle w:val="ConsPlusNormal"/>
              <w:jc w:val="center"/>
            </w:pPr>
            <w:r>
              <w:t xml:space="preserve">10</w:t>
            </w:r>
          </w:p>
        </w:tc>
        <w:tc>
          <w:tcPr>
            <w:tcW w:w="2371" w:type="dxa"/>
            <w:vAlign w:val="center"/>
          </w:tcPr>
          <w:p>
            <w:pPr>
              <w:pStyle w:val="ConsPlusNormal"/>
              <w:jc w:val="center"/>
            </w:pPr>
            <w:r>
              <w:t xml:space="preserve">11</w:t>
            </w: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2"/>
            </w:pPr>
            <w:r>
              <w:t xml:space="preserve">Государственная программа "Развитие лесного хозяйства Новосибирской области"</w:t>
            </w: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outlineLvl w:val="3"/>
            </w:pPr>
            <w:r>
              <w:t xml:space="preserve">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 Региональны</w:t>
            </w:r>
            <w:r>
              <w:t xml:space="preserve">й проект "Сохранение лесов"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ед.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</w:t>
            </w:r>
            <w:r>
              <w:t xml:space="preserve">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на всех участках </w:t>
            </w:r>
            <w:r>
              <w:t xml:space="preserve">вырубленных и погибших лесных насаждений обеспечить проведение лесовосстановления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82 335,4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107 918,7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61 039,8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63 797,9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968,0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44 600,0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46 778,9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13.0.GA.54310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13.0.GA.54320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16 039,8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16 039,8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21 295,6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44 120,8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.1. </w:t>
            </w:r>
            <w:r>
              <w:t xml:space="preserve">Увеличение площади лесовосстановления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2 060,7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3 649,0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</w:t>
            </w:r>
            <w:r>
              <w:t xml:space="preserve">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</w:t>
            </w:r>
            <w:r>
              <w:t xml:space="preserve">обеспечить своевременное восстановление вырубок, гарей, повысить продуктивность лесов, улучшить их породный состав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32,2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24,9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66 295,6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90 899,7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968,0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44 600,0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46 778,9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21 295,6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44 120,8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.1.1. Искусственное лесовосстановление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663,7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805,0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организации, выполняющие работы в рамках государственного задания, арендаторы лесных </w:t>
            </w:r>
            <w:r>
              <w:t xml:space="preserve">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осуществить создание лесных культур на той площади земель лесного фонда, где невозможно обеспечить естественное или нецелесообразно комбинированное </w:t>
            </w:r>
            <w:r>
              <w:t xml:space="preserve">лесовосстановление хозяйственно ценными лесными древесными породами, а также на лесных участках, на которых погибли лесные культуры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34,7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34,7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23 043,7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27 950,4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342,5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13 736,9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13 736,9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9 306,8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13 871,0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.1.2. Естественное лесовосстановление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1 397,0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2 844,0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Позволит: сохранить возобновившееся под пологом лесных насаждений жизнеспособное поколение основных лесных древесных пород лесных насаждений, способное образовывать в данных природно-климатических условиях новые лесные насаждения (подрост); сохранить при проведении рубок лесных насаждений ценные лесные </w:t>
            </w:r>
            <w:r>
              <w:t xml:space="preserve">древесные породы жизнеспособных лесных насаждений, хорошо укоренившихся, участвующих в формировании главных лесных древесных пород, высотой более 2,5 метра (молодняк);</w:t>
            </w:r>
            <w:r>
              <w:t xml:space="preserve"> произвести уход за подростом лесных насаждений ценных лесных древесных пород на площадях, не покрытых лесной растительностью, минерализацию поверхности почвы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2 526,4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5 143,2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2 451,1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2 451,1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</w:t>
            </w:r>
            <w:r>
              <w:t xml:space="preserve">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75,3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2 692,1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.1.3. Создание объектов лесного семеноводства и уход за ними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211,1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230,9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создать на территории Искитимского лесничества объекты лесного семеноводства для устойчивого обеспечения воспроизводства лесов семенами лесных растений с ценными наследственными </w:t>
            </w:r>
            <w:r>
              <w:t xml:space="preserve">свойствами. Позволит осуществить своевременное проведение лесоводственных уходов за лесосеменными плантациями, маточными плантациями, архивами клонов и постоянными лесосеменными участками за счет обеспечения максимальной сохранности растений, удаления нежелательной поросли и самосева на протяжении всего срока использования объектов, а также обеспечения свободного прохода машин и механизмов при проведении работ по заготовке шишек и черенков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34,0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7 181,1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7 854,7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</w:t>
            </w:r>
            <w:r>
              <w:t xml:space="preserve">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</w:t>
            </w:r>
            <w:r>
              <w:t xml:space="preserve">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7 181,1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7 854,7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.1.4. </w:t>
            </w:r>
            <w:r>
              <w:t xml:space="preserve">Заготовка (приобретение) и хранение семян лесных растений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</w:t>
            </w:r>
            <w:r>
              <w:t xml:space="preserve">кг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3 181,6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</w:t>
            </w:r>
            <w:r>
              <w:t xml:space="preserve">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</w:t>
            </w:r>
            <w:r>
              <w:t xml:space="preserve">осуществить заготовку семян в лесных насаждениях, в том числе при рубках ухода за лесами (прореживание, проходные рубки), рубках спелых и перестойных насаждений, а также на специально созданных для этих целей объектах лесного семеноводства для выращивания посадочного материала в лесных питомниках для последующего выполнения лесовосстановительных мероприятий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5 961,6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5 961,6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.1.5. Выращивание посадочного материала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тыс. шт.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6 000,0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организации, выполняющие работы в рамках государственного задания, </w:t>
            </w:r>
            <w:r>
              <w:t xml:space="preserve">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обеспечить проведение лесовосстановления собственным посадочным материалом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6 112,7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9 000,0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6 112,7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9 000,0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.1.6. Проведение агротехнического ухода за лесными культурами 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7 876,6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9 921,2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повысить приживаемость лесных культур и улучшить условия их роста 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13 905,4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17 514,9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198,5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198,5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11 230,9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11 230,9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</w:t>
            </w:r>
            <w:r>
              <w:t xml:space="preserve">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2 476,0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6 085,5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.1.7. Дополнение лесных культур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1 228,8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1 473,0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осуществить повторную посадку сеянцев и саженцев в лесных культурах на месте погибших лесных растений с целью восстановления их первоначальной густоты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12 265,1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14 702,5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201,5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356,4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9 000,0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9 691,8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3 063,6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4 654,3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.1.8. Обработка почвы под </w:t>
            </w:r>
            <w:r>
              <w:t xml:space="preserve">лесовосстановление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255,1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805,0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организации, </w:t>
            </w:r>
            <w:r>
              <w:t xml:space="preserve">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создать благоприятные условия для роста </w:t>
            </w:r>
            <w:r>
              <w:t xml:space="preserve">растений, качественного выполнения всех последующих технологических операций, а также уменьшения пожарной опасности и улучшения санитарного состояния лесных культур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1 185,2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3 740,5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70,6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1 000,0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1 813,6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185,2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1 856,3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.2. Формирование запаса лесных семян для лесовосстановления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</w:t>
            </w:r>
            <w:r>
              <w:t xml:space="preserve">кг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на случай неурожайных лет сформировать страховой фонд семян лесных растений для проведения лесовосстановления. В 2023 году финансирование предусмотрено на выполнение мероприятий по </w:t>
            </w:r>
            <w:r>
              <w:t xml:space="preserve">хранению сформированного ранее фонда лесных семян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</w:t>
            </w:r>
            <w:r>
              <w:t xml:space="preserve">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13.0.GA.543</w:t>
            </w:r>
            <w:r>
              <w:t xml:space="preserve">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О</w:t>
            </w:r>
            <w:r>
              <w:t xml:space="preserve">1</w:t>
            </w:r>
            <w:r>
              <w:t xml:space="preserve">.3. Оснащение специализированных </w:t>
            </w:r>
            <w:r>
              <w:t xml:space="preserve">учреждений органов государственной власти субъектов Российской Федерации</w:t>
            </w:r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шт.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организации, выполняющие работы в рамках государственного задания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Специализированные государственные автономные учреждения Новосибирской области, выполняющие комплекс мероприятий по охране, защите и воспроизводству лесов будут оснащены лесопожарной техникой, необходимой для проведения комплекса мероприятий по охране лесов от пожаров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5 346,6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5 346,6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16 039,8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16 039,8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13.0.GA.54320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16 039,8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16 039,8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4"/>
            </w:pPr>
            <w:r>
              <w:t xml:space="preserve">Задача 1 цели государственной программы: сокращение потерь лесного хозяйства от пожаров, вредных </w:t>
            </w:r>
            <w:r>
              <w:t xml:space="preserve">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5"/>
            </w:pPr>
            <w:r>
              <w:t xml:space="preserve">Подпрограмма 1 государственной программы "Обеспечение использования, охраны, защиты и воспроизводства лесов"</w:t>
            </w: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6"/>
            </w:pPr>
            <w:r>
              <w:t xml:space="preserve">Цель подпрограммы 1: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7"/>
            </w:pPr>
            <w:r>
              <w:t xml:space="preserve">Задача 1 цели подпрограммы 1 государственной программы: повышение эффективности предупреждения и сокращения потерь лесного хозяйства от пожаров и вредных организмов</w:t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 Осуществление мер пожарной безопасности в лесах и защиты лесов от вредных организмов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ед.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минимизировать гибель лесных насаждений, расположенных на землях лесного фонда на территории Новосибирской области, от воздействия пожаров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217 517,2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369 113,1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20 160,0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41 413,6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56 790,0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53 149,3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31 229,4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64 792,4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2 900,0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7 710,9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5 671,7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10 341,7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26 496,0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100 416,0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8 880,8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25 899,9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1.1.1.1.1.1.1. Создание лесных дорог, предназначенных для охраны лесов от пожаров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Протяженность, </w:t>
            </w:r>
            <w:r>
              <w:t xml:space="preserve">км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23,9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35,0</w:t>
            </w:r>
          </w:p>
        </w:tc>
        <w:tc>
          <w:tcPr>
            <w:tcW w:w="1361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  <w:tcBorders>
              <w:bottom w:val="none"/>
            </w:tcBorders>
          </w:tcPr>
          <w:p>
            <w:pPr>
              <w:pStyle w:val="ConsPlusNormal"/>
            </w:pPr>
            <w:r>
              <w:t xml:space="preserve">Позволит оперативно предоставлять силы и средства лесопожарных формирований к местам тушения лесных пожаров и наземного патрулирования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40,3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40,3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963,2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1 411,6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649,0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649,0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314,2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762,6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1.1.1.1.1.1.2. Реконструкция лесных дорог, предназначенных для охраны лесов от пожаров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Протяженность, </w:t>
            </w:r>
            <w:r>
              <w:t xml:space="preserve">км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55,6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90,0</w:t>
            </w:r>
          </w:p>
        </w:tc>
        <w:tc>
          <w:tcPr>
            <w:tcW w:w="136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14,6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14,6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809,2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1 309,7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495,0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495,0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314,2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814,7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1.1.1.1.1.1.3. Устройство противопожарных минерализованных полос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Протяженность, </w:t>
            </w:r>
            <w:r>
              <w:t xml:space="preserve">км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3 819,7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5 800,0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</w:t>
            </w:r>
            <w:r>
              <w:t xml:space="preserve">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Обеспечит предотвращение распространения огня на территории земель лесного фонда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</w:t>
            </w:r>
            <w:r>
              <w:t xml:space="preserve">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3 244,0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4 925,9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55,1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55,1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2 175,0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2 175,0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1 014,0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2 695,9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1.1.1.1.1.1.4. Прочистка просек, уход за противопожарными разрывами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Протяженность, </w:t>
            </w:r>
            <w:r>
              <w:t xml:space="preserve">км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161,0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161,0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</w:t>
            </w:r>
            <w:r>
              <w:t xml:space="preserve">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поддерживать просеки и противопожарные разрывы в надлежащем состоянии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356,0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356,0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273,5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273,5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</w:t>
            </w:r>
            <w:r>
              <w:t xml:space="preserve">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82,5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82,5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1.1.1.1.1.1.5. Прочистка и обновление противопожарных минерализованных полос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Протяженность, </w:t>
            </w:r>
            <w:r>
              <w:t xml:space="preserve">км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14 800,0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Прочистка противопожарных минерализованных полос позволит поддерживать минерализованные полосы в надлежащем противопожарном состоянии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85,8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6 643,7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85,8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85,8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2 788,2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3 769,7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</w:t>
            </w:r>
            <w:r>
              <w:t xml:space="preserve">.6. 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6 300,0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6 300,0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</w:t>
            </w:r>
            <w:r>
              <w:t xml:space="preserve">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</w:t>
            </w:r>
            <w:r>
              <w:t xml:space="preserve">уничтожить сухие горючие материалы, при этом создавать преграды, препятствующие распространению лесных и ландшафтных пожаров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1 668,9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1 668,9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25,5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25,5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726,1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726,1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917,4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917,4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1.1.1.1.1.1.7. Устройство пожарных водоемов и подъездов к источникам противопожарного водоснабжения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шт.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</w:t>
            </w:r>
            <w:r>
              <w:t xml:space="preserve">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обеспечить оперативное тушение лесных пожаров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130,4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130,4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</w:t>
            </w:r>
            <w:r>
              <w:t xml:space="preserve">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42,0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42,0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88,4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88,4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1.1.1.1.1.1.8. Благоустройство зон отдыха граждан, пребывающих в лесах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шт.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125,0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125,0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Благоустройство зон отдыха граждан, пребывающих в лесах, позволит при посещении граждан на участках лесного фонда организовывать безопасный в пожарном отношении отдых граждан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1 471,4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1 471,4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51,7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51,7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744,1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744,1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</w:t>
            </w:r>
            <w:r>
              <w:t xml:space="preserve">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675,6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675,6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1.1.1.1.1.1.9. 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шт.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Обеспечит информирование, агитационную и разъяснительную работу по профилактике возникновения противопожарной среды поселения с целью недопущения нарушения мер противопожарной безопасности в лесах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6 227,6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6 227,6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211,2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211,2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3 622,8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3 622,8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2 393,6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2 393,6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1.1.1.1.1.1.10. Приобретени</w:t>
            </w:r>
            <w:r>
              <w:t xml:space="preserve">е техники для осуществления федерального государственного лесного контроля (надзора) и для охраны лесов от пожаров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шт.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34,0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</w:t>
            </w:r>
            <w:r>
              <w:t xml:space="preserve">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укрепить материально-техническую базу </w:t>
            </w:r>
            <w:r>
              <w:t xml:space="preserve">предприятий лесохозяйственного комплекса, обеспечить своевременное обнаружение и оперативное тушение лесных пожаров Новосибирской области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</w:t>
            </w:r>
            <w:r>
              <w:t xml:space="preserve">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3 486,4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122 179,3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118 538,6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56 790,0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53 149,31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1.1.1.1.1.1.11. Мониторинг пожарной опасности в лесах и лесных пожаров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тыс. 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6 516,4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6 516,4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</w:t>
            </w:r>
            <w:r>
              <w:t xml:space="preserve">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Система наблюдения за пожарной ситуацией в лесах позволит снизить количество лесных пожаров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18,4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37 928,6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120 018,2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20 160,0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41 413,6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17 768,6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78 604,6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1.1.1.1.1.1.12. Тушение пожаров в лесах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660,3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2 545,3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не допустить распространение огня на землях лесного фонда на территории Новосибирской области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5 242,4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20 208,3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5 242,4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9 912,5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10 295,8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</w:t>
            </w:r>
            <w:r>
              <w:t xml:space="preserve">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1.1.1.1.1.1.13. Лесопатологические обследования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2 900,0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выявить очаги вредителей и болезней леса и участки насаждений с нарушенной устойчивостью, установить причины ослабления и усыхания насаждений, произвести оценку их лесопатологического и санитарного состояния, надзор за появлением и распространением очагов вредителей и болезней леса, и, тем самым, получить информацию для прогноза динамики развития очагов, определить угрозу повреждения насаждениям и принять решение о целесообразности </w:t>
            </w:r>
            <w:r>
              <w:t xml:space="preserve">осуществления лесозащитных мероприятий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2 900,0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5 505,3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285,3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2 900,0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5 220,0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1.1.1.1.1.1.14. Обследования очагов вредных организмов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шт.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773,0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773,0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уточнить площадь очагов вредных организмов требующих мер борьбы с ними, и подтверждения необходимости проведения мероприятий по их ликвидации путем учета численности вредных организмов и определения фазы развития очагов вредных организмов на территории земель лесного фонда Барабинского, Венгеровского, Доволенского, Здвинского, Карасукского, Каргатского, Краснозерского, Куйбышевского, Купинского, Ордынского, Татарского, Убинского, </w:t>
            </w:r>
            <w:r>
              <w:t xml:space="preserve">Чановского, Чулымского лесничеств Новосибирской области на 773 пунктах учета на общей площади</w:t>
            </w:r>
            <w:r>
              <w:t xml:space="preserve"> 125,26 тыс. га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17,0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13 102,5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13 102,5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13 102,5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13 102,5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1.1.1.1.1.1.15. Локализация и ликвидация очагов вредных организмов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тыс. 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27,4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уменьшить угрозу распространения вредных организмов путем применения биологического препарата наземным способом в насаждениях Карасукского, Купинского и Татарского лесничеств Новосибирской </w:t>
            </w:r>
            <w:r>
              <w:t xml:space="preserve">области</w:t>
            </w:r>
            <w:r>
              <w:t xml:space="preserve"> на площади требующей мер борьбы 27,4 тыс. га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1 850,0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31 229,4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50 689,9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31 229,4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50 689,90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1.1.1.1.1.1.16. </w:t>
            </w:r>
            <w:r>
              <w:t xml:space="preserve">Санитарно-оздоровительные мероприятия, в том числе: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218,8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886,0</w:t>
            </w:r>
          </w:p>
        </w:tc>
        <w:tc>
          <w:tcPr>
            <w:tcW w:w="1361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center"/>
            </w:pPr>
            <w:r>
              <w:t xml:space="preserve">МПР НСО, организац</w:t>
            </w:r>
            <w:r>
              <w:t xml:space="preserve">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  <w:tcBorders>
              <w:bottom w:val="none"/>
            </w:tcBorders>
          </w:tcPr>
          <w:p>
            <w:pPr>
              <w:pStyle w:val="ConsPlusNormal"/>
            </w:pPr>
            <w:r>
              <w:t xml:space="preserve">Позволит улучшить санитарное </w:t>
            </w:r>
            <w:r>
              <w:t xml:space="preserve">состояние лесных насаждений, уменьшить угрозу распространения вредных организмов, обеспечить выполнение лесными насаждениями своих целевых функций, а также снизить ущерб от воздействия неблагоприятных факторов за лесные насаждения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</w:t>
            </w:r>
            <w:r>
              <w:t xml:space="preserve">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14,1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15,5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3 080,9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13 699,5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3 080,9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13 699,5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1.1.1.1.1.1.16.1. Сплошная санитарная рубка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210,0</w:t>
            </w:r>
          </w:p>
        </w:tc>
        <w:tc>
          <w:tcPr>
            <w:tcW w:w="136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9,9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897,9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2 083,3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897,9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2 083,3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1.1.1.1.1.1.16.2. Выборочная санитарная рубка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112,3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660,0</w:t>
            </w:r>
          </w:p>
        </w:tc>
        <w:tc>
          <w:tcPr>
            <w:tcW w:w="136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17,2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17,2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1 934,3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11 367,5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1 934,3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11 367,5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1.1.1.1.1.1.16.3. Уборка </w:t>
            </w:r>
            <w:r>
              <w:t xml:space="preserve">неликвидной древесины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16,0</w:t>
            </w:r>
          </w:p>
        </w:tc>
        <w:tc>
          <w:tcPr>
            <w:tcW w:w="136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15,5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15,5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248,7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248,7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248,7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248,7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1.1.1.1.1.1.17. Радиационное обследование на землях лесного фонда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3 000,0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провести обследования лесосек для возможного установления радиационного загрязнения древесины на корню, назначения в рубку, с целью последующего определения технологии разработки лесосек, мер радиационной безопасности при </w:t>
            </w:r>
            <w:r>
              <w:t xml:space="preserve">проведении рубок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714,7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714,7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1.1.1.1.1.1.18. Рубки ухода в молодняках (осветление, прочистка)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300,0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Позволят регулировать густоту лесных насаждений, улучшить породный и качественный состав молодняков и условия роста деревьев целевой или целевых древесных пород, а также формировать породный и качественный состав молодняков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2 490,8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2 490,8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Итого на решение задачи 1 подпрограммы 1 </w:t>
            </w:r>
            <w:r>
              <w:t xml:space="preserve">государственной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217 517,2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369 113,1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142 339,3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159 952,2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20 160,0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41 413,6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56 790,0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53 149,3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66 297,1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183 261,0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31 229,4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64 792,4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2 900,0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7 710,9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5 671,7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10 341,7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26 496,0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100 416,0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8 880,8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25 899,9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7"/>
            </w:pPr>
            <w:r>
              <w:t xml:space="preserve">Задача 2 цели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1.1.1.1.2.2</w:t>
            </w:r>
            <w:r>
              <w:t xml:space="preserve">. Осуществление мероприятий по обеспечению использования лесов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тыс. 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</w:t>
            </w:r>
            <w:r>
              <w:t xml:space="preserve">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</w:t>
            </w:r>
            <w:r>
              <w:t xml:space="preserve">обеспечить подготовку лесосечного фонда для использования в целях заготовки древесины при реализации договоров аренды, договоров купли-продажи лесных насаждений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6 731,8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39 844,1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6 731,8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39 844,1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1.1.1.1.2.2.1. Отвод лесосек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4 907,7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29 219,3</w:t>
            </w:r>
          </w:p>
        </w:tc>
        <w:tc>
          <w:tcPr>
            <w:tcW w:w="1361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</w:t>
            </w:r>
            <w:r>
              <w:t xml:space="preserve">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  <w:tcBorders>
              <w:bottom w:val="none"/>
            </w:tcBorders>
          </w:tcPr>
          <w:p>
            <w:pPr>
              <w:pStyle w:val="ConsPlusNormal"/>
            </w:pPr>
            <w:r>
              <w:t xml:space="preserve">Позволит произвести отвод части площади лесного участка, предназначенного в рубку, а также таксацию лесосек, при которой определить количественные и качественные </w:t>
            </w:r>
            <w:r>
              <w:t xml:space="preserve">характеристики лесных насаждений и объем древесины, подлежащий заготовке, а также установить и обозначить на местности границы лесосек, отобрать и отметить деревья, предназначенные для рубки при проведении выборочных рубок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1,4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6 731,8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39 844,1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6 731,8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39 844,1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1.1.1.1.2.2.1.1. Отвод лесосек под выборочные рубки (прореживание, проходные, выборочные санитарные рубки, рубки переформирования и обновления)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4 776,3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26 009,3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1,4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6 564,5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35 747,2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6 564,5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35 747,2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1.1.1.1.2.2</w:t>
            </w:r>
            <w:r>
              <w:t xml:space="preserve">.1.2. Отвод лесосек под рубки, проводимые в целях ухода за лесами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300,0</w:t>
            </w:r>
          </w:p>
        </w:tc>
        <w:tc>
          <w:tcPr>
            <w:tcW w:w="136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1,4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405,3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405,3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1.1.1.1.2.2.1.3. Отвод лесосек под сплошные рубки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125,3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2 910,0</w:t>
            </w:r>
          </w:p>
        </w:tc>
        <w:tc>
          <w:tcPr>
            <w:tcW w:w="136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1,3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158,9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3 691,6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158,9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3 691,6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1.1.1.1.2.3. 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- памятника природы областного значения "Дендрологический парк"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166,6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166,6</w:t>
            </w:r>
          </w:p>
        </w:tc>
        <w:tc>
          <w:tcPr>
            <w:tcW w:w="1361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center"/>
            </w:pPr>
            <w:r>
              <w:t xml:space="preserve">МПР НСО, организации, выполняющие работы в рамках государственного задания</w:t>
            </w:r>
          </w:p>
        </w:tc>
        <w:tc>
          <w:tcPr>
            <w:tcW w:w="2371" w:type="dxa"/>
            <w:vMerge w:val="restart"/>
            <w:tcBorders>
              <w:bottom w:val="none"/>
            </w:tcBorders>
          </w:tcPr>
          <w:p>
            <w:pPr>
              <w:pStyle w:val="ConsPlusNormal"/>
            </w:pPr>
            <w:r>
              <w:t xml:space="preserve">Позволит сохранить целостность уникального ландшафтного комплекса особо охраняемой природной территории регионального значения Новосибирской области - памятника природы областного значения "Дендрологический парк". В 2023 гг. планируется провести санитарно-оздовительные мероприятия на площади 166,5855 га, провести ремонт дорожек протяженностью не </w:t>
            </w:r>
            <w:r>
              <w:t xml:space="preserve">менее 2600 пог. м ежегодно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22,7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46,2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3 783,3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7 692,3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13.1.04.03880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3 783,3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7 692,3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1.1.1.1.2.3.1. Выполнение </w:t>
            </w:r>
            <w:r>
              <w:t xml:space="preserve">мероприятий по охране и использованию особо охраняемой природной территории регионального значения Новосибирской области - памятника природы областного значения "Дендрологический парк"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Площадь, </w:t>
            </w:r>
            <w:r>
              <w:t xml:space="preserve">га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166,6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166,6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22,7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46,2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3 783,3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7 692,3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13.1.04.03880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3 783,3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7 692,3</w:t>
            </w:r>
          </w:p>
        </w:tc>
        <w:tc>
          <w:tcPr>
            <w:tcW w:w="136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1.1.1.1.2.4. Разработка проектной документации по проектированию (изменению) границ лесопарковых и зеленых зон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шт.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в 2023 году разработать проектную документацию по проектированию (изменению) границ лесопарковых и зеленых зон в Искитимском лесничестве Новосибирской области в целях сохранения средообразующих, защитных, санитарно-</w:t>
            </w:r>
            <w:r>
              <w:t xml:space="preserve">гигиенических, оздоровительных и иных полезных функций леса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759,6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759,6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13.1.05.03890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759,6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</w:t>
            </w:r>
            <w:r>
              <w:t xml:space="preserve">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1.1.1.1.2.5. Выполнение работ по оцифровке материалов лесоустройства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шт.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в 2023 году выполнить работы по приведению документированной информации, содержащейся в государственном лесном реестре, в цифровой вид, а именно: материалы лесоустройства, хранящиеся на бумажном носителе (планы лесонасаждений, планшеты, таксационное описание) содержащиеся в государственном лесном реестре, будут приведены в цифровой вид, создана и наполнена семантическая база данных сведений о лесах </w:t>
            </w:r>
            <w:r>
              <w:t xml:space="preserve">(количественные и качественные характеристики)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9 500,0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13.1.06.01250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9 500,0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1.1.1.1.2.5.1. Приведение документированной информации, содержащейся в государственном лесном реестре, в цифровой вид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шт.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в 2023 году выполнить оцифровку материалов лесоустройства 40 лесохозяйственных участков Новосибирской области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237,5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9 500,0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13.1.06.01250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9 500,0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Итого на решение задачи 2 подпрограммы 1 государственной </w:t>
            </w:r>
            <w:r>
              <w:t xml:space="preserve">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10 515,1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57 796,0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3 783,3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17 951,9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13.1.02.037</w:t>
            </w:r>
            <w:r>
              <w:t xml:space="preserve">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13.1.04.03880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3 783,3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7 692,3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13.1.05.03890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759,6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13.1.06.01250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9 500,0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6 731,8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39 844,1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7"/>
            </w:pPr>
            <w:r>
              <w:t xml:space="preserve">Задача 3 цели подпрограммы 1 государственной программы: повышение качества семян, улучшение селекционных и генетических свойств посадочного материала, восстановление погибших и вырубленных лесов</w:t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1.1.1.1.3.1. Осуществление мероприятий по воспроизводству лесов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Количество, ед.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</w:t>
            </w:r>
            <w:r>
              <w:t xml:space="preserve">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Реализация мероприятий направлена на уменьшение площади не занятых лесными насаждениями в составе земель лесного фонда на территории Новосибирской </w:t>
            </w:r>
            <w:r>
              <w:t xml:space="preserve">области, улучшение породного состава и качества лесов, повышение продуктивности и их устойчивости к негативным воздействиям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88 398,9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262 707,4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</w:t>
            </w:r>
            <w:r>
              <w:t xml:space="preserve">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88 398,9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262 707,4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1.1.1.1.3.1.1. Рубки ухода за лесом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Объем, м</w:t>
            </w:r>
            <w:r>
              <w:rPr>
                <w:vertAlign w:val="superscript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center"/>
            </w:pPr>
            <w:r>
              <w:t xml:space="preserve"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</w:t>
            </w:r>
          </w:p>
        </w:tc>
        <w:tc>
          <w:tcPr>
            <w:tcW w:w="2371" w:type="dxa"/>
            <w:vMerge w:val="restart"/>
            <w:tcBorders>
              <w:bottom w:val="none"/>
            </w:tcBorders>
          </w:tcPr>
          <w:p>
            <w:pPr>
              <w:pStyle w:val="ConsPlusNormal"/>
            </w:pPr>
            <w:r>
              <w:t xml:space="preserve">Позволит улучшить возрастную структуру лесных насаждений путем рубки усохших и ослабленных деревьев, улучшить их защитные и средообразующие функции, породный и качественный состав молодняков и условий роста деревьев целевых древесных пород, регулировать густоту лесных насаждений и улучшение условий роста деревьев целевых древесных пород, а также </w:t>
            </w:r>
            <w:r>
              <w:t xml:space="preserve">продолжить формирование породного и качественного состава молодняков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88 398,9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262 707,4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88 398,9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262 707,4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1.1.1.1.3.1.1.1. Прореживание лесных насаждений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Объем, м</w:t>
            </w:r>
            <w:r>
              <w:rPr>
                <w:vertAlign w:val="superscript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14 893,0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56 475,0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0,7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11 150,4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42 282,8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11 150,4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42 282,8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1.1.1.1.3.1.1.2. Проходные рубки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Объем, м</w:t>
            </w:r>
            <w:r>
              <w:rPr>
                <w:vertAlign w:val="superscript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76 856,0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230 570,0</w:t>
            </w:r>
          </w:p>
        </w:tc>
        <w:tc>
          <w:tcPr>
            <w:tcW w:w="136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0,7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50 022,6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172 627,8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50 022,6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172 627,8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1.1.1.1.3.1.1.3. Рубки обновления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Объем, м</w:t>
            </w:r>
            <w:r>
              <w:rPr>
                <w:vertAlign w:val="superscript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6 288,0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13 452,0</w:t>
            </w:r>
          </w:p>
        </w:tc>
        <w:tc>
          <w:tcPr>
            <w:tcW w:w="136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0,7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4 707,8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10 071,5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4 707,8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10 071,5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1.1.1.1.3.1</w:t>
            </w:r>
            <w:r>
              <w:t xml:space="preserve">.1.4. Рубки переформирования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Объем, м</w:t>
            </w:r>
            <w:r>
              <w:rPr>
                <w:vertAlign w:val="superscript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1 371,8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2 350,0</w:t>
            </w:r>
          </w:p>
        </w:tc>
        <w:tc>
          <w:tcPr>
            <w:tcW w:w="136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1 413,7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2 421,8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1 413,7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2 421,8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1.1.1.1.3.1.1.5. Рубки сохранения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Объем, м</w:t>
            </w:r>
            <w:r>
              <w:rPr>
                <w:vertAlign w:val="superscript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24 560,8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41 570,0</w:t>
            </w:r>
          </w:p>
        </w:tc>
        <w:tc>
          <w:tcPr>
            <w:tcW w:w="136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0,7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18 388,7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31 123,5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18 388,7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31 123,5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1.1.1.1.3.1.1.6. Рубка единичных деревьев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Объем, м</w:t>
            </w:r>
            <w:r>
              <w:rPr>
                <w:vertAlign w:val="superscript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3 627,2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5 583,0</w:t>
            </w:r>
          </w:p>
        </w:tc>
        <w:tc>
          <w:tcPr>
            <w:tcW w:w="136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restart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0,7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2 715,7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4 180,0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2 715,7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4 180,0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  <w:tcBorders>
              <w:top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Итого на решение задачи 3 </w:t>
            </w:r>
            <w:r>
              <w:t xml:space="preserve">подпрограммы 1 государственной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88 398,9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262 707,4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</w:t>
            </w:r>
            <w:r>
              <w:t xml:space="preserve">бюджет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88 398,9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262 707,4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Итого по подпрограмме 1 государственной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316 431,2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689 616,6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146 122,6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177 904,1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20 160,0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41 413,6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56 790,0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53 149,3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13.1.04.03880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3 783,3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7 692,3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13.1.04.03890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759,6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13.1.06.01250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9 500,0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66 297,1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183 261,0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31 229,4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64 792,4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2 900,0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7 710,9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5 671,7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10 341,7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26 496,0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100 416,0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104 011,5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328 451,4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Итого на решение задачи 1 цели государственной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316 431,2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689 616,6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146 122,6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177 904,1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20 160,0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41 413,6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56 790,0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53 149,3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13.1.04.03880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3 783,3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7 692,3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13.1.04.03890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759,6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13.1.06.01250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9 500,0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66 297,1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183 261,0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31 229,4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64 792,4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2 900,0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7 710,9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5 671,7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10 341,7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26 496,0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100 416,0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104 011,5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328 451,4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4"/>
            </w:pPr>
            <w:r>
              <w:t xml:space="preserve">Задача 2 цели государственной программы: повышение эффективности управления лесами</w:t>
            </w: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5"/>
            </w:pPr>
            <w:r>
              <w:t xml:space="preserve">Подпрограмма 2 "Обеспечение реализации государственной программы "Развитие лесного хозяйства Новосибирской области"</w:t>
            </w: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6"/>
            </w:pPr>
            <w:r>
              <w:t xml:space="preserve">Цель подпрограммы 2 государственной программы: повышение эффективности управления лесами</w:t>
            </w: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7"/>
            </w:pPr>
            <w:r>
              <w:t xml:space="preserve">Задача 1 цели подпрограммы 2 государственной программы: обеспечение соблюдения требований законодательства в сфере лесных отношений</w:t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1.2.2.1.1.1. Обеспечение исполнения переданных полномочий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Кол-во патрулирований лесов, шт.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6 075,0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12 450,0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В рамках данного мероприятия уполномоченным органом, осуществляющим переданные отдельные полномочия Российской Федерации в области лесных отношений - МПР НСО, будет осуществляться государственное управление и нормативное правовое регулирование в сфере лесных отношений на территории Новосибирской области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504" w:type="dxa"/>
            <w:gridSpan w:val="2"/>
            <w:vMerge w:val="restart"/>
          </w:tcPr>
          <w:p>
            <w:pPr>
              <w:pStyle w:val="ConsPlusNormal"/>
            </w:pP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504" w:type="dxa"/>
            <w:gridSpan w:val="2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2504" w:type="dxa"/>
            <w:gridSpan w:val="2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1.2.2.1.1.2</w:t>
            </w:r>
            <w:r>
              <w:t xml:space="preserve">. Осуществление мер по выявлению нарушений лесного законодательства, незаконной заготовке, оборота древесины на территории Новосибирской области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Кол-во, ед.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</w:t>
            </w:r>
            <w:r>
              <w:t xml:space="preserve">ГУ МВД России по Новосибирской области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Формирование </w:t>
            </w:r>
            <w:r>
              <w:t xml:space="preserve">резерва автомобильной техники и последующая передача ее в безвозмездное пользование ГУ МВД России по Новосибирской области, позволит осуществлять:</w:t>
            </w:r>
          </w:p>
          <w:p>
            <w:pPr>
              <w:pStyle w:val="ConsPlusNormal"/>
            </w:pPr>
            <w:r>
              <w:t xml:space="preserve">совместные проверки соблюдения лесного законодательства;</w:t>
            </w:r>
          </w:p>
          <w:p>
            <w:pPr>
              <w:pStyle w:val="ConsPlusNormal"/>
            </w:pPr>
            <w:r>
              <w:t xml:space="preserve">совместные мероприятия при осуществлении доследственных проверок при производстве по уголовным делам и по делам об административных правонарушениях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13.2.01.04920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1.2.2.1.1.2.1. Формирование резерва автомобильной техники для осуществления мер по выявлению нарушений лесного законодательства, </w:t>
            </w:r>
            <w:r>
              <w:t xml:space="preserve">незаконной заготовке, оборота древесины на территории Новосибирской области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Кол-во автомобильной техники, шт.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1 815,0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1 815,0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13.2.01.04920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Итого на решение задачи 1 цели подпрограммы 2 государственной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13.2.01.04920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3606" w:type="dxa"/>
            <w:gridSpan w:val="11"/>
          </w:tcPr>
          <w:p>
            <w:pPr>
              <w:pStyle w:val="ConsPlusNormal"/>
              <w:jc w:val="center"/>
              <w:outlineLvl w:val="7"/>
            </w:pPr>
            <w:r>
              <w:t xml:space="preserve">Задача 2 цели подпрограммы 2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1.2.2.1.2.2. Подготовка, переподгото</w:t>
            </w:r>
            <w:r>
              <w:t xml:space="preserve">вка и повышение квалификации кадров лесного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Численность, чел.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НСО, подведомственные предприят</w:t>
            </w:r>
            <w:r>
              <w:t xml:space="preserve">ия и учреждения: ГУП НСО - лесхозы, ГАУ НСО - лесхозы, АО - лесхозы, 100% акций которых принадлежат Новосибирской области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</w:pPr>
            <w:r>
              <w:t xml:space="preserve">Позволит осуществить подготовку, переподготовку </w:t>
            </w:r>
            <w:r>
              <w:t xml:space="preserve">кадров лесного хозяйства, повысить их квалификацию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 по мероприятию, в том числе: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3071" w:type="dxa"/>
            <w:gridSpan w:val="3"/>
            <w:vMerge w:val="restart"/>
          </w:tcPr>
          <w:p>
            <w:pPr>
              <w:pStyle w:val="ConsPlusNormal"/>
              <w:jc w:val="center"/>
            </w:pPr>
            <w:r>
              <w:t xml:space="preserve">Мероприятие в отношении сотрудников МПР НСО осуществляется в рамках текущей деятельности МПР НСО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3071" w:type="dxa"/>
            <w:gridSpan w:val="3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3071" w:type="dxa"/>
            <w:gridSpan w:val="3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Итого на решение задачи 2 цели подпрограммы 2 государственной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Численность, чел.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Стоимость единицы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252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Итого по подпрограмме 2 государственной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39 015,0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13.2.01.04920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Итого на решение задачи 2 цели государственной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39 015,0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13.2.01.04920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restart"/>
          </w:tcPr>
          <w:p>
            <w:pPr>
              <w:pStyle w:val="ConsPlusNormal"/>
            </w:pPr>
            <w:r>
              <w:t xml:space="preserve">Итого по </w:t>
            </w:r>
            <w:r>
              <w:t xml:space="preserve">государственное</w:t>
            </w:r>
            <w:r>
              <w:t xml:space="preserve"> программе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Всего, в том числе: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436 881,6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836 550,2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2371" w:type="dxa"/>
            <w:vMerge w:val="restart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областной бюджет</w:t>
            </w:r>
          </w:p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184 237,6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216 019,1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65 389,3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20 160,0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41 413,6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13.1.01.03810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56 790,0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53 149,3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13.1.04.03880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3 783,3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7 692,3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13.1.04.03890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759,6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13.1.06.01250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9 500,0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13.2.01.04920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38 115,0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федеральный бюджет</w:t>
            </w:r>
          </w:p>
          <w:p>
            <w:pPr>
              <w:pStyle w:val="ConsPlusNormal"/>
            </w:pPr>
            <w:r>
              <w:t xml:space="preserve">ИТОГО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127 336,9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247 058,9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restart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968,0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44 600,0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46 778,9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13.0.GA.54310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11,2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13.0.GA.54320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622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16 039,8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16 039,8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31 229,4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64 792,4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13.1.01.51290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2 900,0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7 710,9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244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5 671,7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10 341,7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  <w:vMerge w:val="continue"/>
          </w:tcPr>
          <w:p>
            <w:pPr>
              <w:pStyle w:val="ConsPlusNormal"/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130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04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07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13.1.01.53450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621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26 496,0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100 416,0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внебюджетные источники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 xml:space="preserve">x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125 307,1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373 472,2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701" w:type="dxa"/>
            <w:vMerge w:val="continue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  <w:r>
              <w:t xml:space="preserve">налоговые расходы</w:t>
            </w:r>
          </w:p>
        </w:tc>
        <w:tc>
          <w:tcPr>
            <w:tcW w:w="73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252" w:type="dxa"/>
          </w:tcPr>
          <w:p>
            <w:pPr>
              <w:pStyle w:val="ConsPlusNormal"/>
              <w:jc w:val="right"/>
            </w:pPr>
            <w:r>
              <w:t xml:space="preserve">0,0</w:t>
            </w:r>
          </w:p>
        </w:tc>
        <w:tc>
          <w:tcPr>
            <w:tcW w:w="1361" w:type="dxa"/>
            <w:vMerge w:val="continue"/>
          </w:tcPr>
          <w:p>
            <w:pPr>
              <w:pStyle w:val="ConsPlusNormal"/>
            </w:pPr>
          </w:p>
        </w:tc>
        <w:tc>
          <w:tcPr>
            <w:tcW w:w="2371" w:type="dxa"/>
            <w:vMerge w:val="continue"/>
          </w:tcPr>
          <w:p>
            <w:pPr>
              <w:pStyle w:val="ConsPlusNormal"/>
            </w:pPr>
          </w:p>
        </w:tc>
      </w:tr>
    </w:tbl>
    <w:p>
      <w:pPr>
        <w:pStyle w:val="ConsPlusNormal"/>
        <w:sectPr>
          <w:pgSz w:w="16838" w:h="11905" w:orient="landscape"/>
          <w:pgMar w:top="1701" w:right="1134" w:bottom="850" w:left="1134" w:header="0" w:footer="0" w:gutter="0"/>
          <w:cols w:space="720"/>
          <w:docGrid w:linePitch="360"/>
          <w:titlePg/>
        </w:sectPr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Применяемые сокращения:</w:t>
      </w:r>
    </w:p>
    <w:p>
      <w:pPr>
        <w:pStyle w:val="ConsPlusNormal"/>
        <w:spacing w:before="220"/>
        <w:ind w:firstLine="540"/>
        <w:jc w:val="both"/>
      </w:pPr>
      <w:r>
        <w:t xml:space="preserve">МПР НСО - министерство природных ресурсов и экологии Новосибирской области;</w:t>
      </w:r>
    </w:p>
    <w:p>
      <w:pPr>
        <w:pStyle w:val="ConsPlusNormal"/>
        <w:spacing w:before="220"/>
        <w:ind w:firstLine="540"/>
        <w:jc w:val="both"/>
      </w:pPr>
      <w:r>
        <w:t xml:space="preserve">ГУ МВД России по Новосибирской области - Главное управление Министерства внутренних дел Российской Федерации по Новосибирской области.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 xml:space="preserve">Приложение N 2</w:t>
      </w:r>
    </w:p>
    <w:p>
      <w:pPr>
        <w:pStyle w:val="ConsPlusNormal"/>
        <w:jc w:val="right"/>
      </w:pPr>
      <w:r>
        <w:t xml:space="preserve">к приказу</w:t>
      </w:r>
    </w:p>
    <w:p>
      <w:pPr>
        <w:pStyle w:val="ConsPlusNormal"/>
        <w:jc w:val="right"/>
      </w:pPr>
      <w:r>
        <w:t xml:space="preserve">министерства природных ресурсов и</w:t>
      </w:r>
    </w:p>
    <w:p>
      <w:pPr>
        <w:pStyle w:val="ConsPlusNormal"/>
        <w:jc w:val="right"/>
      </w:pPr>
      <w:r>
        <w:t xml:space="preserve">экологии Новосибирской области</w:t>
      </w:r>
    </w:p>
    <w:p>
      <w:pPr>
        <w:pStyle w:val="ConsPlusNormal"/>
        <w:jc w:val="right"/>
      </w:pPr>
      <w:r>
        <w:t xml:space="preserve">от 22.03.2023 N 328-НПА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1" w:name="P5385"/>
      <w:bookmarkEnd w:id="1"/>
      <w:r>
        <w:t xml:space="preserve">СПРАВОЧНЫЕ ДОКУМЕНТЫ.</w:t>
      </w:r>
    </w:p>
    <w:p>
      <w:pPr>
        <w:pStyle w:val="ConsPlusTitle"/>
        <w:jc w:val="center"/>
      </w:pPr>
      <w:r>
        <w:t xml:space="preserve">ИНФОРМАЦИЯ О ВКЛЮЧЕНИИ МЕРОПРИЯТИЙ ПРОГРАММЫ РЕАЛИЗАЦИИ</w:t>
      </w:r>
    </w:p>
    <w:p>
      <w:pPr>
        <w:pStyle w:val="ConsPlusTitle"/>
        <w:jc w:val="center"/>
      </w:pPr>
      <w:r>
        <w:t xml:space="preserve">НАКАЗОВ ИЗБИРАТЕЛЕЙ ДЕПУТАТАМ ЗАКОНОДАТЕЛЬНОГО СОБРАНИЯ</w:t>
      </w:r>
    </w:p>
    <w:p>
      <w:pPr>
        <w:pStyle w:val="ConsPlusTitle"/>
        <w:jc w:val="center"/>
      </w:pPr>
      <w:r>
        <w:t xml:space="preserve">НОВОСИБИРСКОЙ ОБЛАСТИ В ПЛАН РЕАЛИЗАЦИИ МЕРОПРИЯТИЙ</w:t>
      </w:r>
    </w:p>
    <w:p>
      <w:pPr>
        <w:pStyle w:val="ConsPlusTitle"/>
        <w:jc w:val="center"/>
      </w:pPr>
      <w:r>
        <w:t xml:space="preserve">ГОСУДАРСТВЕННОЙ ПРОГРАММЫ НОВОСИБИРСКОЙ ОБЛАСТИ "РАЗВИТИЕ</w:t>
      </w:r>
    </w:p>
    <w:p>
      <w:pPr>
        <w:pStyle w:val="ConsPlusTitle"/>
        <w:jc w:val="center"/>
      </w:pPr>
      <w:r>
        <w:t xml:space="preserve">ЛЕСНОГО ХОЗЯЙСТВА НОВОСИБИРСКОЙ ОБЛАСТИ" НА 2023 ГОД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МПР Новосибирской области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11.10.2023 N 1234-НПА, от 29.03.2024 N 340-НПА)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sectPr>
          <w:pgSz w:w="11905" w:h="16838"/>
          <w:pgMar w:top="1134" w:right="850" w:bottom="1134" w:left="1701" w:header="0" w:footer="0" w:gutter="0"/>
          <w:cols w:space="720"/>
          <w:docGrid w:linePitch="360"/>
          <w:titlePg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2041"/>
        <w:gridCol w:w="2721"/>
        <w:gridCol w:w="1361"/>
        <w:gridCol w:w="907"/>
        <w:gridCol w:w="1474"/>
        <w:gridCol w:w="2713"/>
      </w:tblGrid>
      <w:tr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 xml:space="preserve">Наименование основного мероприятия (детализированного мероприятия)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Код наказа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 xml:space="preserve">Содержание наказа избирателей</w:t>
            </w:r>
          </w:p>
        </w:tc>
        <w:tc>
          <w:tcPr>
            <w:tcW w:w="2721" w:type="dxa"/>
          </w:tcPr>
          <w:p>
            <w:pPr>
              <w:pStyle w:val="ConsPlusNormal"/>
              <w:jc w:val="center"/>
            </w:pPr>
            <w:r>
              <w:t xml:space="preserve">Наименование </w:t>
            </w:r>
            <w:r>
              <w:t xml:space="preserve">мероприятия плана реализации наказов избирателей</w:t>
            </w:r>
            <w:r>
              <w:t xml:space="preserve"> депутатам Законодательного Собрания Новосибирской области на 2023 год</w:t>
            </w:r>
          </w:p>
        </w:tc>
        <w:tc>
          <w:tcPr>
            <w:tcW w:w="2268" w:type="dxa"/>
            <w:gridSpan w:val="2"/>
          </w:tcPr>
          <w:p>
            <w:pPr>
              <w:pStyle w:val="ConsPlusNormal"/>
              <w:jc w:val="center"/>
            </w:pPr>
            <w:r>
              <w:t xml:space="preserve">Объем и источники финансирования на 2023 год (тыс. руб.)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 xml:space="preserve">Главные распорядители бюджетных средств, ответственные исполнители</w:t>
            </w:r>
          </w:p>
        </w:tc>
        <w:tc>
          <w:tcPr>
            <w:tcW w:w="2713" w:type="dxa"/>
          </w:tcPr>
          <w:p>
            <w:pPr>
              <w:pStyle w:val="ConsPlusNormal"/>
              <w:jc w:val="center"/>
            </w:pPr>
            <w:r>
              <w:t xml:space="preserve">Комментарии</w:t>
            </w:r>
          </w:p>
        </w:tc>
      </w:tr>
      <w:tr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 xml:space="preserve">1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 xml:space="preserve">2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 xml:space="preserve">3</w:t>
            </w:r>
          </w:p>
        </w:tc>
        <w:tc>
          <w:tcPr>
            <w:tcW w:w="2721" w:type="dxa"/>
          </w:tcPr>
          <w:p>
            <w:pPr>
              <w:pStyle w:val="ConsPlusNormal"/>
              <w:jc w:val="center"/>
            </w:pPr>
            <w:r>
              <w:t xml:space="preserve">4</w:t>
            </w:r>
          </w:p>
        </w:tc>
        <w:tc>
          <w:tcPr>
            <w:tcW w:w="2268" w:type="dxa"/>
            <w:gridSpan w:val="2"/>
          </w:tcPr>
          <w:p>
            <w:pPr>
              <w:pStyle w:val="ConsPlusNormal"/>
              <w:jc w:val="center"/>
            </w:pPr>
            <w:r>
              <w:t xml:space="preserve">5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 xml:space="preserve">6</w:t>
            </w:r>
          </w:p>
        </w:tc>
        <w:tc>
          <w:tcPr>
            <w:tcW w:w="2713" w:type="dxa"/>
          </w:tcPr>
          <w:p>
            <w:pPr>
              <w:pStyle w:val="ConsPlusNormal"/>
              <w:jc w:val="center"/>
            </w:pPr>
            <w:r>
              <w:t xml:space="preserve">7</w:t>
            </w:r>
          </w:p>
        </w:tc>
      </w:tr>
      <w:tr>
        <w:tc>
          <w:tcPr>
            <w:tcW w:w="1531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both"/>
            </w:pPr>
            <w:r>
              <w:t xml:space="preserve">1.1.1.1.2.3.</w:t>
            </w:r>
          </w:p>
          <w:p>
            <w:pPr>
              <w:pStyle w:val="ConsPlusNormal"/>
              <w:jc w:val="both"/>
            </w:pPr>
            <w:r>
              <w:t xml:space="preserve">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- памятника природы областного значения </w:t>
            </w:r>
            <w:r>
              <w:t xml:space="preserve">"Дендрологический парк"</w:t>
            </w:r>
          </w:p>
        </w:tc>
        <w:tc>
          <w:tcPr>
            <w:tcW w:w="850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both"/>
            </w:pPr>
            <w:r>
              <w:t xml:space="preserve">21-060</w:t>
            </w:r>
          </w:p>
        </w:tc>
        <w:tc>
          <w:tcPr>
            <w:tcW w:w="2041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both"/>
            </w:pPr>
            <w:r>
              <w:t xml:space="preserve">Сохранить за Новосибирским дендропарком статус "Особо охраняемая природная территория - памятник природы областного значения "Дендрологический парк", остановить вырубку уникальных деревьев и захват территории дендропарка под любые виды застройки, включить освещение на </w:t>
            </w:r>
            <w:r>
              <w:t xml:space="preserve">центральной аллее (Заельцовский район)</w:t>
            </w:r>
          </w:p>
        </w:tc>
        <w:tc>
          <w:tcPr>
            <w:tcW w:w="2721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both"/>
            </w:pPr>
            <w:r>
              <w:t xml:space="preserve">В рамках реализации мероприятия ГП НСО "Развитие лесного хозяйства Новосибирской области" обеспечивается освещение центральной аллеи</w:t>
            </w: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Итого, в том числе: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7 692,3</w:t>
            </w:r>
          </w:p>
        </w:tc>
        <w:tc>
          <w:tcPr>
            <w:tcW w:w="1474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center"/>
            </w:pPr>
            <w:r>
              <w:t xml:space="preserve">МПР НСО,</w:t>
            </w:r>
          </w:p>
          <w:p>
            <w:pPr>
              <w:pStyle w:val="ConsPlusNormal"/>
              <w:jc w:val="center"/>
            </w:pPr>
            <w:r>
              <w:t xml:space="preserve">ГАУ НСО "Новосибирская авиабаза"</w:t>
            </w:r>
          </w:p>
        </w:tc>
        <w:tc>
          <w:tcPr>
            <w:tcW w:w="2713" w:type="dxa"/>
            <w:vMerge w:val="restart"/>
            <w:tcBorders>
              <w:bottom w:val="none"/>
            </w:tcBorders>
          </w:tcPr>
          <w:p>
            <w:pPr>
              <w:pStyle w:val="ConsPlusNormal"/>
              <w:jc w:val="both"/>
            </w:pPr>
            <w:r>
              <w:t xml:space="preserve">Статус "Особо охраняемая природная территория - памятник природы областного значения "Дендрологический парк", утвержден постановлением Правительства Новосибирской области от 21.08.2014 N 336-п. В соответствии с постановлением на территории Дендропарка запрещены любые виды застройки и вырубки уникальных деревьев</w:t>
            </w:r>
          </w:p>
        </w:tc>
      </w:tr>
      <w:tr>
        <w:tc>
          <w:tcPr>
            <w:tcW w:w="153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Областной бюджет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7 692,3</w:t>
            </w:r>
          </w:p>
        </w:tc>
        <w:tc>
          <w:tcPr>
            <w:tcW w:w="1474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Федеральный бюджет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Местный бюджет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1361" w:type="dxa"/>
            <w:tcBorders>
              <w:bottom w:val="none"/>
            </w:tcBorders>
          </w:tcPr>
          <w:p>
            <w:pPr>
              <w:pStyle w:val="ConsPlusNormal"/>
              <w:jc w:val="both"/>
            </w:pPr>
            <w:r>
              <w:t xml:space="preserve">Внебюджетные источники</w:t>
            </w:r>
          </w:p>
        </w:tc>
        <w:tc>
          <w:tcPr>
            <w:tcW w:w="907" w:type="dxa"/>
            <w:tcBorders>
              <w:bottom w:val="none"/>
            </w:tcBorders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  <w:tcBorders>
              <w:bottom w:val="none"/>
            </w:tcBorders>
          </w:tcPr>
          <w:p>
            <w:pPr>
              <w:pStyle w:val="ConsPlusNormal"/>
            </w:pPr>
          </w:p>
        </w:tc>
      </w:tr>
      <w:tr>
        <w:tc>
          <w:tcPr>
            <w:tcW w:w="13598" w:type="dxa"/>
            <w:gridSpan w:val="8"/>
            <w:tcBorders>
              <w:top w:val="none"/>
            </w:tcBorders>
          </w:tcPr>
          <w:p>
            <w:pPr>
              <w:pStyle w:val="ConsPlusNormal"/>
              <w:jc w:val="both"/>
            </w:pPr>
            <w:r>
              <w:t xml:space="preserve">(в ред. приказов МПР Новосибирской области от 11.10.2023 N 1234-НПА, от 29.03.2024</w:t>
            </w:r>
          </w:p>
          <w:p>
            <w:pPr>
              <w:pStyle w:val="ConsPlusNormal"/>
              <w:jc w:val="both"/>
            </w:pPr>
            <w:r>
              <w:t xml:space="preserve">N 340-НПА)</w:t>
            </w:r>
          </w:p>
        </w:tc>
      </w:tr>
      <w:tr>
        <w:tc>
          <w:tcPr>
            <w:tcW w:w="1531" w:type="dxa"/>
            <w:vMerge w:val="restart"/>
          </w:tcPr>
          <w:p>
            <w:pPr>
              <w:pStyle w:val="ConsPlusNormal"/>
              <w:jc w:val="both"/>
            </w:pPr>
            <w:r>
              <w:t xml:space="preserve">1.1.1.1.2.3.</w:t>
            </w:r>
          </w:p>
          <w:p>
            <w:pPr>
              <w:pStyle w:val="ConsPlusNormal"/>
              <w:jc w:val="both"/>
            </w:pPr>
            <w:r>
              <w:t xml:space="preserve">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- памятника природы областного значения "Дендрологический парк"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both"/>
            </w:pPr>
            <w:r>
              <w:t xml:space="preserve">22-034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  <w:jc w:val="both"/>
            </w:pPr>
            <w:r>
              <w:t xml:space="preserve">Благоустройство Дендропарка, благоустройство ограждения по периметру участка, установка внутренних ограждений между участками, установка малых форм, снос аварийных зеленых насаждений и высадка новых, благоустройство спортивной площадки. Устройство велосипедного маршрута (велодорожки) (Заельцовский район)</w:t>
            </w:r>
          </w:p>
        </w:tc>
        <w:tc>
          <w:tcPr>
            <w:tcW w:w="2721" w:type="dxa"/>
            <w:vMerge w:val="restart"/>
          </w:tcPr>
          <w:p>
            <w:pPr>
              <w:pStyle w:val="ConsPlusNormal"/>
              <w:jc w:val="both"/>
            </w:pPr>
            <w:r>
              <w:t xml:space="preserve">Продолжение реализации наказа.</w:t>
            </w:r>
          </w:p>
          <w:p>
            <w:pPr>
              <w:pStyle w:val="ConsPlusNormal"/>
              <w:jc w:val="both"/>
            </w:pPr>
            <w:r>
              <w:t xml:space="preserve">В рамках реализации мероприятия ГП НСО "Развитие лесного хозяйства Новосибирской области" запланированы санитарно-оздоровительные мероприятия на площади 166,6 га, высадка деревьев, высадка однолетних цветов на клумбах партерной части центральной аллеи, работы по отсыпке и прокладке новых участков дорожно-тропиночной сети, уборка мусора. Реализация наказа в части благоустройства особо охраняемой природной </w:t>
            </w:r>
            <w:r>
              <w:t xml:space="preserve">территории регионального значения Новосибирской области - памятника природы областного значения "Дендрологический парк" обеспечивается в рамках государственной программы "Развитие лесного хозяйства Новосибирской области"</w:t>
            </w: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Итого, в том числе: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 xml:space="preserve">МПР НСО,</w:t>
            </w:r>
          </w:p>
          <w:p>
            <w:pPr>
              <w:pStyle w:val="ConsPlusNormal"/>
              <w:jc w:val="center"/>
            </w:pPr>
            <w:r>
              <w:t xml:space="preserve">ГАУ НСО</w:t>
            </w:r>
          </w:p>
          <w:p>
            <w:pPr>
              <w:pStyle w:val="ConsPlusNormal"/>
              <w:jc w:val="center"/>
            </w:pPr>
            <w:r>
              <w:t xml:space="preserve">"Новосибирская авиабаза"</w:t>
            </w:r>
          </w:p>
        </w:tc>
        <w:tc>
          <w:tcPr>
            <w:tcW w:w="2713" w:type="dxa"/>
            <w:vMerge w:val="restart"/>
          </w:tcPr>
          <w:p>
            <w:pPr>
              <w:pStyle w:val="ConsPlusNormal"/>
              <w:jc w:val="both"/>
            </w:pPr>
            <w:r>
              <w:t xml:space="preserve">наказ дублирует 21-060, финансирование указано в 21 округе.</w:t>
            </w:r>
          </w:p>
          <w:p>
            <w:pPr>
              <w:pStyle w:val="ConsPlusNormal"/>
              <w:jc w:val="both"/>
            </w:pPr>
            <w:r>
              <w:t xml:space="preserve">Реализация предложения по наказу в части благоустройства спортивной площадки и устройства велосипедного маршрута (велодорожки) противоречит федеральному либо региональному законодательству и рекомендована к отклонению. Положением о режиме особо охраняемой природной территории регионального значения Новосибирской области - памятника природы областного </w:t>
            </w:r>
            <w:r>
              <w:t xml:space="preserve">значения "Дендрологический парк", утвержденным постановлением Правительства Новосибирской области от 21.08.2014 N 336-п, запрещена установка данных объектов на территории Дендропарка</w:t>
            </w:r>
          </w:p>
        </w:tc>
      </w:tr>
      <w:tr>
        <w:tc>
          <w:tcPr>
            <w:tcW w:w="1531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Областной бюджет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Федеральный бюджет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Местный бюджет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Внебюджетные источники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restart"/>
          </w:tcPr>
          <w:p>
            <w:pPr>
              <w:pStyle w:val="ConsPlusNormal"/>
              <w:jc w:val="both"/>
            </w:pPr>
            <w:r>
              <w:t xml:space="preserve">Обеспечение исполнения переданных полномочий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both"/>
            </w:pPr>
            <w:r>
              <w:t xml:space="preserve">13-168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  <w:jc w:val="both"/>
            </w:pPr>
            <w:r>
              <w:t xml:space="preserve">Создание современного высокотехнологического деревоперерабатывающего комплекса на территории Сузунского района (р.п.</w:t>
            </w:r>
            <w:r>
              <w:t xml:space="preserve"> </w:t>
            </w:r>
            <w:r>
              <w:t xml:space="preserve">Сузун)</w:t>
            </w:r>
          </w:p>
        </w:tc>
        <w:tc>
          <w:tcPr>
            <w:tcW w:w="2721" w:type="dxa"/>
            <w:vMerge w:val="restart"/>
          </w:tcPr>
          <w:p>
            <w:pPr>
              <w:pStyle w:val="ConsPlusNormal"/>
              <w:jc w:val="both"/>
            </w:pPr>
            <w:r>
              <w:t xml:space="preserve">Реализация наказа осуществляется в рамках текущей деятельности министерства природных ресурсов и экологии Новосибирской области и дополнительных средств из областного бюджета Новосибирской области не требует</w:t>
            </w: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Итого, в том числе: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  <w:vMerge w:val="restart"/>
          </w:tcPr>
          <w:p>
            <w:pPr>
              <w:pStyle w:val="ConsPlusNormal"/>
              <w:jc w:val="center"/>
            </w:pPr>
            <w:r>
              <w:t xml:space="preserve">МПР НСО</w:t>
            </w:r>
          </w:p>
        </w:tc>
        <w:tc>
          <w:tcPr>
            <w:tcW w:w="2713" w:type="dxa"/>
            <w:vMerge w:val="restart"/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Областной бюджет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  <w:vMerge w:val="continue"/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Федеральный бюджет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  <w:vMerge w:val="continue"/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Местный бюджет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  <w:vMerge w:val="continue"/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</w:tcPr>
          <w:p>
            <w:pPr>
              <w:pStyle w:val="ConsPlusNormal"/>
            </w:pPr>
          </w:p>
        </w:tc>
      </w:tr>
      <w:tr>
        <w:tc>
          <w:tcPr>
            <w:tcW w:w="1531" w:type="dxa"/>
            <w:vMerge w:val="continue"/>
          </w:tcPr>
          <w:p>
            <w:pPr>
              <w:pStyle w:val="ConsPlusNormal"/>
            </w:pPr>
          </w:p>
        </w:tc>
        <w:tc>
          <w:tcPr>
            <w:tcW w:w="850" w:type="dxa"/>
            <w:vMerge w:val="continue"/>
          </w:tcPr>
          <w:p>
            <w:pPr>
              <w:pStyle w:val="ConsPlusNormal"/>
            </w:pPr>
          </w:p>
        </w:tc>
        <w:tc>
          <w:tcPr>
            <w:tcW w:w="2041" w:type="dxa"/>
            <w:vMerge w:val="continue"/>
          </w:tcPr>
          <w:p>
            <w:pPr>
              <w:pStyle w:val="ConsPlusNormal"/>
            </w:pPr>
          </w:p>
        </w:tc>
        <w:tc>
          <w:tcPr>
            <w:tcW w:w="2721" w:type="dxa"/>
            <w:vMerge w:val="continue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both"/>
            </w:pPr>
            <w:r>
              <w:t xml:space="preserve">Внебюджетные источники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</w:pPr>
            <w:r>
              <w:t xml:space="preserve">0,0</w:t>
            </w:r>
          </w:p>
        </w:tc>
        <w:tc>
          <w:tcPr>
            <w:tcW w:w="1474" w:type="dxa"/>
            <w:vMerge w:val="continue"/>
          </w:tcPr>
          <w:p>
            <w:pPr>
              <w:pStyle w:val="ConsPlusNormal"/>
            </w:pPr>
          </w:p>
        </w:tc>
        <w:tc>
          <w:tcPr>
            <w:tcW w:w="2713" w:type="dxa"/>
            <w:vMerge w:val="continue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Применяемые сокращения: МПР НСО - министерство природных ресурсов и экологии Новосибирской области.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6838" w:h="11905" w:orient="landscape"/>
      <w:pgMar w:top="1701" w:right="1134" w:bottom="850" w:left="1134" w:header="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ourier New" w:hAnsi="Courier New" w:cs="Courier New" w:eastAsiaTheme="minorEastAsia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Arial" w:hAnsi="Arial" w:cs="Arial" w:eastAsiaTheme="minorEastAsia"/>
      <w:b/>
      <w:lang w:eastAsia="ru-RU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DocList" w:customStyle="1">
    <w:name w:val="ConsPlusDocList"/>
    <w:pPr>
      <w:widowControl w:val="off"/>
      <w:spacing w:after="0" w:line="240" w:lineRule="auto"/>
    </w:pPr>
    <w:rPr>
      <w:rFonts w:ascii="Courier New" w:hAnsi="Courier New" w:cs="Courier New" w:eastAsiaTheme="minorEastAsia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JurTerm" w:customStyle="1">
    <w:name w:val="ConsPlusJurTerm"/>
    <w:pPr>
      <w:widowControl w:val="off"/>
      <w:spacing w:after="0" w:line="240" w:lineRule="auto"/>
    </w:pPr>
    <w:rPr>
      <w:rFonts w:ascii="Tahoma" w:hAnsi="Tahoma" w:cs="Tahoma" w:eastAsiaTheme="minorEastAsia"/>
      <w:sz w:val="26"/>
      <w:lang w:eastAsia="ru-RU"/>
    </w:rPr>
  </w:style>
  <w:style w:type="paragraph" w:styleId="ConsPlusTextList" w:customStyle="1">
    <w:name w:val="ConsPlusTextList"/>
    <w:pPr>
      <w:widowControl w:val="off"/>
      <w:spacing w:after="0" w:line="240" w:lineRule="auto"/>
    </w:pPr>
    <w:rPr>
      <w:rFonts w:ascii="Courier New" w:hAnsi="Courier New" w:cs="Courier New" w:eastAsiaTheme="minorEastAsia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image" Target="media/image4.wmf"/><Relationship Id="rId11" Type="http://schemas.openxmlformats.org/officeDocument/2006/relationships/image" Target="media/image5.wmf"/><Relationship Id="rId12" Type="http://schemas.openxmlformats.org/officeDocument/2006/relationships/image" Target="media/image6.wmf"/><Relationship Id="rId13" Type="http://schemas.openxmlformats.org/officeDocument/2006/relationships/image" Target="media/image7.wmf"/><Relationship Id="rId14" Type="http://schemas.openxmlformats.org/officeDocument/2006/relationships/image" Target="media/image8.wmf"/><Relationship Id="rId15" Type="http://schemas.openxmlformats.org/officeDocument/2006/relationships/image" Target="media/image9.wmf"/><Relationship Id="rId1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75512</Characters>
  <CharactersWithSpaces>88582</CharactersWithSpaces>
  <Company/>
  <DocSecurity>0</DocSecurity>
  <HyperlinksChanged>false</HyperlinksChanged>
  <Lines>629</Lines>
  <LinksUpToDate>false</LinksUpToDate>
  <Pages>80</Pages>
  <Paragraphs>177</Paragraphs>
  <ScaleCrop>false</ScaleCrop>
  <SharedDoc>false</SharedDoc>
  <Template>Normal</Template>
  <TotalTime>1</TotalTime>
  <Words>13247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Купер</dc:creator>
  <cp:lastModifiedBy>Купер</cp:lastModifiedBy>
  <cp:revision>1</cp:revision>
  <dcterms:created xsi:type="dcterms:W3CDTF">2024-04-15T08:04:00Z</dcterms:created>
  <dcterms:modified xsi:type="dcterms:W3CDTF">2024-04-15T08:05:00Z</dcterms:modified>
</cp:coreProperties>
</file>