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</w:t>
      </w:r>
      <w:r w:rsidRPr="00FD27E6">
        <w:rPr>
          <w:b/>
          <w:sz w:val="28"/>
        </w:rPr>
        <w:t>бласти от</w:t>
      </w:r>
      <w:r w:rsidR="007649F5" w:rsidRPr="00FD27E6">
        <w:rPr>
          <w:b/>
          <w:sz w:val="28"/>
        </w:rPr>
        <w:t xml:space="preserve"> </w:t>
      </w:r>
      <w:r w:rsidR="008F55CC" w:rsidRPr="008F55CC">
        <w:rPr>
          <w:b/>
          <w:sz w:val="28"/>
          <w:szCs w:val="28"/>
        </w:rPr>
        <w:t xml:space="preserve">29 октября 2012 N 491-п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proofErr w:type="spellStart"/>
      <w:r w:rsidR="008F55CC" w:rsidRPr="008F55CC">
        <w:rPr>
          <w:b/>
          <w:sz w:val="28"/>
          <w:szCs w:val="28"/>
        </w:rPr>
        <w:t>Усть-Таркский</w:t>
      </w:r>
      <w:proofErr w:type="spellEnd"/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proofErr w:type="spellStart"/>
      <w:r w:rsidR="008F55CC" w:rsidRPr="00AC60FA">
        <w:rPr>
          <w:sz w:val="28"/>
          <w:szCs w:val="28"/>
        </w:rPr>
        <w:t>Усть-Таркский</w:t>
      </w:r>
      <w:proofErr w:type="spellEnd"/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9B674F" w:rsidRDefault="009B674F" w:rsidP="009B674F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B674F" w:rsidRDefault="009B674F" w:rsidP="009B674F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Усть-Таркский</w:t>
      </w:r>
      <w:proofErr w:type="spellEnd"/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</w:t>
      </w:r>
      <w:proofErr w:type="gramEnd"/>
      <w:r>
        <w:rPr>
          <w:sz w:val="28"/>
          <w:szCs w:val="28"/>
        </w:rPr>
        <w:t xml:space="preserve"> - государственного природного заказника «</w:t>
      </w:r>
      <w:proofErr w:type="spellStart"/>
      <w:r w:rsidRPr="00AC60FA">
        <w:rPr>
          <w:sz w:val="28"/>
          <w:szCs w:val="28"/>
        </w:rPr>
        <w:t>Усть-Таркский</w:t>
      </w:r>
      <w:proofErr w:type="spellEnd"/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9B674F" w:rsidRDefault="009B674F" w:rsidP="009B674F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настоящее время участились случаи выброса и оставления мусора на особо охраняемых природных территориях регионального значения 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9B674F" w:rsidRDefault="009B674F" w:rsidP="009B674F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9B674F" w:rsidRDefault="009B674F" w:rsidP="009B674F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9B674F" w:rsidRDefault="009B674F" w:rsidP="009B674F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9B674F" w:rsidRDefault="009B674F" w:rsidP="009B674F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9B674F" w:rsidP="009B674F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Усть-Таркский</w:t>
      </w:r>
      <w:proofErr w:type="spellEnd"/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040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E708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3EA6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35FB0"/>
    <w:rsid w:val="00452F52"/>
    <w:rsid w:val="00463EB1"/>
    <w:rsid w:val="004642E5"/>
    <w:rsid w:val="004660E0"/>
    <w:rsid w:val="00475208"/>
    <w:rsid w:val="00475765"/>
    <w:rsid w:val="00476FEF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03B0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649F5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8F55CC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B674F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86CCE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175F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C41F9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33D37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E625D"/>
    <w:rsid w:val="00EF45F4"/>
    <w:rsid w:val="00F06049"/>
    <w:rsid w:val="00F07492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C05E0"/>
    <w:rsid w:val="00FD27E6"/>
    <w:rsid w:val="00FE53DB"/>
    <w:rsid w:val="00FE6880"/>
    <w:rsid w:val="00FF040B"/>
    <w:rsid w:val="00FF1A27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2017-03-31T04:08:00Z</dcterms:created>
  <dcterms:modified xsi:type="dcterms:W3CDTF">2017-04-03T06:24:00Z</dcterms:modified>
</cp:coreProperties>
</file>