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29.07.2024  № 145</w:t>
      </w:r>
      <w:bookmarkStart w:id="0" w:name="_GoBack"/>
      <w:bookmarkEnd w:id="0"/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косули сибирской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 </w:t>
      </w:r>
      <w:r>
        <w:rPr>
          <w:b/>
          <w:sz w:val="28"/>
          <w:szCs w:val="28"/>
        </w:rPr>
        <w:t xml:space="preserve">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</w:t>
      </w:r>
      <w:r>
        <w:rPr>
          <w:rFonts w:eastAsiaTheme="minorHAnsi"/>
          <w:b/>
          <w:sz w:val="28"/>
          <w:szCs w:val="28"/>
          <w:lang w:eastAsia="en-US"/>
        </w:rPr>
        <w:t xml:space="preserve"> </w:t>
      </w:r>
      <w:r>
        <w:rPr>
          <w:rFonts w:eastAsiaTheme="minorHAnsi"/>
          <w:b/>
          <w:sz w:val="28"/>
          <w:szCs w:val="28"/>
          <w:lang w:eastAsia="en-US"/>
        </w:rPr>
        <w:t xml:space="preserve">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60"/>
        <w:gridCol w:w="1821"/>
        <w:gridCol w:w="981"/>
        <w:gridCol w:w="981"/>
        <w:gridCol w:w="1541"/>
        <w:gridCol w:w="1238"/>
      </w:tblGrid>
      <w:tr>
        <w:trPr>
          <w:jc w:val="center"/>
          <w:trHeight w:val="20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 Новосибирской области, охотничьего угодья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4796" w:type="dxa"/>
            <w:gridSpan w:val="4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сего</w:t>
            </w:r>
          </w:p>
        </w:tc>
        <w:tc>
          <w:tcPr>
            <w:tcW w:w="3803" w:type="dxa"/>
            <w:gridSpan w:val="3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 животные (старше 1 года)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особей в возрасте до 1 года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самцы во время гона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разделения по половому признаку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1 033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«Баганское» участок «Казанский»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«Баганское» участок «Палецкий»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«Мироновское» (ранее «планируемое охотничье угодье № 1.2»)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1 382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«Барабинское»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1 214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«Бехтеньское»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Болотнинский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1 229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«Болотнинский»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«Чебулинский»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«Гвардейское» (ранее «планируемое охотничье угодье № 3.2»)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«Завидово»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«Мануйловское»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«Ояшское»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«Северное»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Венгеровский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2 963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«Рямовское»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«Таёжный» участок «Ахтырский»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«Таёжный» участок «Козловский»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«Удачное» (ранее «планируемое охотничье угодье № 4.2»)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«Улуцкое» (ранее «планируемое охотничье угодье № 4.3»)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«Шуховское»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Доволенский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2 621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«Альянс» (ранее «планируемое охотничье угодье № 5.2»)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«Индерское»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«Комарьевское»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«Покровское» (ранее «планируемое охотничье угодье № 5.5»)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«Суздальское»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«Шагальское» (ранее «планируемое охотничье угодье № 5.4»)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2 249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«Восточный»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«Лянинское»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«Петраковское» (ранее «планируемое охотничье угодье № 6.2»)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«Пронюшкина заимка»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«Саргульское»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«Сартланское»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«Сибирь» (ранее «планируемое охотничье угодье № 6.3»)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«Цереус»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1 733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«Северо-Восточный»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«Искитимское» участок «Искитимский»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«Искитимское» участок «Линевский»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«Морозовское»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«Тулинское»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Карасукский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2 377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«Калиновское»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«Кукаринское»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«Южноозерное» участок «Северный»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«Южноозерное» участок «Центральный»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3 307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угодья, участок «Центральный»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«Озерное»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«Индерское»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 участок «Аткульский»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 участок «Воздвиженский»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 участок «Диановский»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 участок «Карганский»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«Суминское»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«Пристань Почта»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«Бакса»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«Казыки»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«Кашламский бор»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участок «Минзелинский»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участки «Рямовский», «Черный борок»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«Шегарское»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2 660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 участок «Верх-Карасукский»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1 139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 участок «Квашнинский»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«Крохалевское»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«Леснополянское»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«Моховое»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лес»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2 279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участки «Северный 1», «Северный 2»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«Ермаковское» участок «Ермаковский»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«Ермаковское» участок «Фроловский»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«Кочковское»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Краснозерский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3 451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2 063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«Казанакское»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«Полойское» (ранее «планируемое охотничье угодье № 13.3»)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«Светловское» (ранее «планируемое охотничье угодье № 13.2»)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4 823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«Куйбышевское» участок «Майский»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«Куйбышевское» участок «Мангазерский»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 участок «Каминский»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1 196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 участок «Морозовский»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 участок «Осинцевский»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«Тагановское»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«Хорос-1» (ранее «планируемое охотничье угодье № 14.3»)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1 400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«Купинское»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1 400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«Березовское» (ранее «планируемое охотничье угодье № 16.5»)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«Орловское» (ранее «планируемое охотничье угодье № 16.2»)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«Таёжник»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«Центральный», «Северный 1»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 «НОООиР»)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(ООО «КВАНТ»)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«Старатели Сибири» (ранее «планируемое охотничье угодье № 17.2»)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«Хмелевское» (ранее «планируемое охотничье угодье № 17.3»)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1 080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«Мошковское»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«Назаровское»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«Боровое»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«Ярковское»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2 352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«Бугринская роща»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«Ирмень»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«Ордынское»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1 187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природный парк «Караканский бор» Зона традиционного природопользования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природный парк «Караканский бор» Зона лесохозяйственного использования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2 249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«Ершовское»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«Сузунское»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«Биоланд»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2 314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 участок «Пойменский»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 участок «Сурковский»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 участок «Коуракский»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 участок «Тогучинский»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«Укроп»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3 447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1 566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«Невское» (ранее «планируемое охотничье угодье № 25.3»)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СибВО)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(ОО «НОООиР»)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1 175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№ 1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№ 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«Беркут» (ранее «планируемое охотничье угодье № 26.2»)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«Сибириада» участок № 1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«Сибириада» участок № 2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«Усть-Таркское»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1 973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«Озерное»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«Покровское» (ранее «планируемое охотничье угодье № 27.2»)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«Чановское» участок «Новояблоневский»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«Чановское» участок «Оравский»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«Черниговское-1»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«Черниговское-2»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«Черниговское-3»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«Медведское» (ранее «планируемое охотничье угодье № 28.3»)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«Черепановское»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Чистоозерный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«Северо-Западный»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156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«Юдинский»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«Малахит» участок «Романовка»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242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158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«Малахит» участок «Сибиряк»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«Малахит» участок «Чистоозёрное»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«Чистые озера»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2 869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296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229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70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«Северо-Восточный»</w:t>
            </w:r>
          </w:p>
        </w:tc>
        <w:tc>
          <w:tcPr>
            <w:tcW w:w="1843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25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163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«Заимка»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 участок «Байкал»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 участок «Зыбунки»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70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1 007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3402" w:type="dxa"/>
            <w:gridSpan w:val="2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58 755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6 051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354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790</w:t>
            </w:r>
          </w:p>
        </w:tc>
      </w:tr>
    </w:tbl>
    <w:p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 – межрегиональное военное общество охотников Сибирского военного округа;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 </w:t>
      </w:r>
      <w:r>
        <w:rPr>
          <w:rFonts w:ascii="Times New Roman" w:hAnsi="Times New Roman" w:cs="Times New Roman"/>
          <w:sz w:val="28"/>
          <w:szCs w:val="28"/>
        </w:rPr>
        <w:t xml:space="preserve">«НОООиР» – общественная организация «Новосибирское областное общество охотников и рыболовов».</w:t>
      </w: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headerReference w:type="first" r:id="rId10"/>
      <w:pgSz w:w="11906" w:h="16838"/>
      <w:pgMar w:top="1134" w:right="567" w:bottom="1134" w:left="1418" w:header="680" w:footer="68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4677492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0E8B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A7E6F1C">
      <w:start w:val="1"/>
      <w:numFmt w:val="lowerLetter"/>
      <w:lvlText w:val="%2."/>
      <w:lvlJc w:val="left"/>
      <w:pPr>
        <w:ind w:left="1620" w:hanging="360"/>
      </w:pPr>
    </w:lvl>
    <w:lvl w:ilvl="2" w:tplc="200A9EA6">
      <w:start w:val="1"/>
      <w:numFmt w:val="lowerRoman"/>
      <w:lvlText w:val="%3."/>
      <w:lvlJc w:val="right"/>
      <w:pPr>
        <w:ind w:left="2340" w:hanging="180"/>
      </w:pPr>
    </w:lvl>
    <w:lvl w:ilvl="3" w:tplc="F5FEAA36">
      <w:start w:val="1"/>
      <w:numFmt w:val="decimal"/>
      <w:lvlText w:val="%4."/>
      <w:lvlJc w:val="left"/>
      <w:pPr>
        <w:ind w:left="3060" w:hanging="360"/>
      </w:pPr>
    </w:lvl>
    <w:lvl w:ilvl="4" w:tplc="5A76F610">
      <w:start w:val="1"/>
      <w:numFmt w:val="lowerLetter"/>
      <w:lvlText w:val="%5."/>
      <w:lvlJc w:val="left"/>
      <w:pPr>
        <w:ind w:left="3780" w:hanging="360"/>
      </w:pPr>
    </w:lvl>
    <w:lvl w:ilvl="5" w:tplc="89DC4DE8">
      <w:start w:val="1"/>
      <w:numFmt w:val="lowerRoman"/>
      <w:lvlText w:val="%6."/>
      <w:lvlJc w:val="right"/>
      <w:pPr>
        <w:ind w:left="4500" w:hanging="180"/>
      </w:pPr>
    </w:lvl>
    <w:lvl w:ilvl="6" w:tplc="34F88800">
      <w:start w:val="1"/>
      <w:numFmt w:val="decimal"/>
      <w:lvlText w:val="%7."/>
      <w:lvlJc w:val="left"/>
      <w:pPr>
        <w:ind w:left="5220" w:hanging="360"/>
      </w:pPr>
    </w:lvl>
    <w:lvl w:ilvl="7" w:tplc="FC98020E">
      <w:start w:val="1"/>
      <w:numFmt w:val="lowerLetter"/>
      <w:lvlText w:val="%8."/>
      <w:lvlJc w:val="left"/>
      <w:pPr>
        <w:ind w:left="5940" w:hanging="360"/>
      </w:pPr>
    </w:lvl>
    <w:lvl w:ilvl="8" w:tplc="37DEB1B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character" w:styleId="14" w:customStyle="1">
    <w:name w:val="Верхний колонтитул Знак1"/>
    <w:basedOn w:val="a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5" w:customStyle="1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fc">
    <w:name w:val="Body Text Indent"/>
    <w:basedOn w:val="a"/>
    <w:link w:val="16"/>
    <w:unhideWhenUsed/>
    <w:pPr>
      <w:spacing w:after="120"/>
      <w:ind w:left="283"/>
    </w:pPr>
  </w:style>
  <w:style w:type="character" w:styleId="afd" w:customStyle="1">
    <w:name w:val="Основной текст с отступом Знак"/>
    <w:basedOn w:val="a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" w:customStyle="1">
    <w:name w:val="Основной текст с отступом Знак1"/>
    <w:basedOn w:val="a0"/>
    <w:link w:val="af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msonormal0" w:customStyle="1">
    <w:name w:val="msonormal"/>
    <w:basedOn w:val="a"/>
    <w:pPr>
      <w:spacing w:before="100" w:beforeAutospacing="1" w:after="100" w:afterAutospacing="1"/>
    </w:pPr>
  </w:style>
  <w:style w:type="paragraph" w:styleId="xl69" w:customStyle="1">
    <w:name w:val="xl69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xl70" w:customStyle="1">
    <w:name w:val="xl70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1" w:customStyle="1">
    <w:name w:val="xl71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3" w:customStyle="1">
    <w:name w:val="xl73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xl74" w:customStyle="1">
    <w:name w:val="xl74"/>
    <w:basedOn w:val="a"/>
    <w:pPr>
      <w:spacing w:before="100" w:beforeAutospacing="1" w:after="100" w:afterAutospacing="1"/>
    </w:p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7" w:customStyle="1">
    <w:name w:val="xl77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8" w:customStyle="1">
    <w:name w:val="xl7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9" w:customStyle="1">
    <w:name w:val="xl7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0" w:customStyle="1">
    <w:name w:val="xl8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1" w:customStyle="1">
    <w:name w:val="xl81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2" w:customStyle="1">
    <w:name w:val="xl82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3" w:customStyle="1">
    <w:name w:val="xl83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4" w:customStyle="1">
    <w:name w:val="xl84"/>
    <w:basedOn w:val="a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5" w:customStyle="1">
    <w:name w:val="xl85"/>
    <w:basedOn w:val="a"/>
    <w:pPr>
      <w:pBdr>
        <w:top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6" w:customStyle="1">
    <w:name w:val="xl86"/>
    <w:basedOn w:val="a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7" w:customStyle="1">
    <w:name w:val="xl87"/>
    <w:basedOn w:val="a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8" w:customStyle="1">
    <w:name w:val="xl88"/>
    <w:basedOn w:val="a"/>
    <w:pPr>
      <w:pBdr>
        <w:bottom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9" w:customStyle="1">
    <w:name w:val="xl89"/>
    <w:basedOn w:val="a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90" w:customStyle="1">
    <w:name w:val="xl9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</w:style>
  <w:style w:type="paragraph" w:styleId="xl91" w:customStyle="1">
    <w:name w:val="xl9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styleId="xl92" w:customStyle="1">
    <w:name w:val="xl9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styleId="xl93" w:customStyle="1">
    <w:name w:val="xl9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95" w:customStyle="1">
    <w:name w:val="xl9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7" w:customStyle="1">
    <w:name w:val="xl97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8" w:customStyle="1">
    <w:name w:val="xl9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99" w:customStyle="1">
    <w:name w:val="xl99"/>
    <w:basedOn w:val="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100" w:customStyle="1">
    <w:name w:val="xl100"/>
    <w:basedOn w:val="a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101" w:customStyle="1">
    <w:name w:val="xl10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</w:pPr>
    <w:rPr>
      <w:b/>
      <w:bCs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styleId="aff1" w:customStyle="1">
    <w:name w:val="Текст примечания Знак"/>
    <w:basedOn w:val="a0"/>
    <w:link w:val="aff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styleId="aff3" w:customStyle="1">
    <w:name w:val="Тема примечания Знак"/>
    <w:basedOn w:val="aff1"/>
    <w:link w:val="aff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28C-0FF6-4236-89D7-21DF9E93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8167</Characters>
  <CharactersWithSpaces>9580</CharactersWithSpaces>
  <Company>Microsoft</Company>
  <DocSecurity>0</DocSecurity>
  <HyperlinksChanged>false</HyperlinksChanged>
  <Lines>68</Lines>
  <LinksUpToDate>false</LinksUpToDate>
  <Pages>12</Pages>
  <Paragraphs>19</Paragraphs>
  <ScaleCrop>false</ScaleCrop>
  <SharedDoc>false</SharedDoc>
  <Template>Normal</Template>
  <TotalTime>6</TotalTime>
  <Words>1432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Белуш Анна Валерьевна</cp:lastModifiedBy>
  <cp:revision>20</cp:revision>
  <dcterms:created xsi:type="dcterms:W3CDTF">2022-06-29T03:58:00Z</dcterms:created>
  <dcterms:modified xsi:type="dcterms:W3CDTF">2024-07-29T09:37:00Z</dcterms:modified>
</cp:coreProperties>
</file>