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6F" w:rsidRDefault="00C25C6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25C6F" w:rsidRDefault="00C25C6F">
      <w:pPr>
        <w:pStyle w:val="ConsPlusNormal"/>
        <w:jc w:val="both"/>
        <w:outlineLvl w:val="0"/>
      </w:pPr>
    </w:p>
    <w:p w:rsidR="00C25C6F" w:rsidRDefault="00C25C6F">
      <w:pPr>
        <w:pStyle w:val="ConsPlusNormal"/>
        <w:outlineLvl w:val="0"/>
      </w:pPr>
      <w:r>
        <w:t>Зарегистрировано в Минюсте России 10 августа 2018 г. N 51845</w:t>
      </w:r>
    </w:p>
    <w:p w:rsidR="00C25C6F" w:rsidRDefault="00C25C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Title"/>
        <w:jc w:val="center"/>
      </w:pPr>
      <w:r>
        <w:t>МИНИСТЕРСТВО ПРИРОДНЫХ РЕСУРСОВ И ЭКОЛОГИИ</w:t>
      </w:r>
    </w:p>
    <w:p w:rsidR="00C25C6F" w:rsidRDefault="00C25C6F">
      <w:pPr>
        <w:pStyle w:val="ConsPlusTitle"/>
        <w:jc w:val="center"/>
      </w:pPr>
      <w:r>
        <w:t>РОССИЙСКОЙ ФЕДЕРАЦИИ</w:t>
      </w:r>
    </w:p>
    <w:p w:rsidR="00C25C6F" w:rsidRDefault="00C25C6F">
      <w:pPr>
        <w:pStyle w:val="ConsPlusTitle"/>
        <w:jc w:val="both"/>
      </w:pPr>
    </w:p>
    <w:p w:rsidR="00C25C6F" w:rsidRDefault="00C25C6F">
      <w:pPr>
        <w:pStyle w:val="ConsPlusTitle"/>
        <w:jc w:val="center"/>
      </w:pPr>
      <w:r>
        <w:t>ПРИКАЗ</w:t>
      </w:r>
    </w:p>
    <w:p w:rsidR="00C25C6F" w:rsidRDefault="00C25C6F">
      <w:pPr>
        <w:pStyle w:val="ConsPlusTitle"/>
        <w:jc w:val="center"/>
      </w:pPr>
      <w:r>
        <w:t>от 16 июля 2018 г. N 325</w:t>
      </w:r>
    </w:p>
    <w:p w:rsidR="00C25C6F" w:rsidRDefault="00C25C6F">
      <w:pPr>
        <w:pStyle w:val="ConsPlusTitle"/>
        <w:jc w:val="both"/>
      </w:pPr>
    </w:p>
    <w:p w:rsidR="00C25C6F" w:rsidRDefault="00C25C6F">
      <w:pPr>
        <w:pStyle w:val="ConsPlusTitle"/>
        <w:jc w:val="center"/>
      </w:pPr>
      <w:r>
        <w:t>ОБ УТВЕРЖДЕНИИ ПРАВИЛ</w:t>
      </w:r>
    </w:p>
    <w:p w:rsidR="00C25C6F" w:rsidRDefault="00C25C6F">
      <w:pPr>
        <w:pStyle w:val="ConsPlusTitle"/>
        <w:jc w:val="center"/>
      </w:pPr>
      <w:r>
        <w:t>ЗАГОТОВКИ И СБОРА НЕДРЕВЕСНЫХ ЛЕСНЫХ РЕСУРСОВ</w:t>
      </w:r>
    </w:p>
    <w:p w:rsidR="00C25C6F" w:rsidRDefault="00C25C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25C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5C6F" w:rsidRDefault="00C25C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5C6F" w:rsidRDefault="00C25C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27.02.2020 N 100)</w:t>
            </w:r>
          </w:p>
        </w:tc>
      </w:tr>
    </w:tbl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32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2251, N 30, ст. 3597, ст. 3599, ст. 3616, N 52, ст. 6236; 2009, N 11, ст. 1261, N 29, ст. 3601, N 30, ст. 3735, N 52, ст. 6441; 2010, N 30, ст. 3998; 2011, N 1, ст. 54, N 25, ст. 3530, N 27, ст. 3880, N 29, ст. 4291, N 30, ст. 4590, N 48, ст. 6732, N 50, ст. 7343; 2012, N 26, ст. 3446, N 31, ст. 4322; 2013, N 51, ст. 6680, N 52, ст. 6961, ст. 6971, ст. 6980; 2014, N 11, ст. 1092, N 26, ст. 3377, ст. 3386, N 30, ст. 4251; 2015, N 27, ст. 3997, N 29, ст. 4350, ст. 4359; 2016, N 1, ст. 75, N 18, ст. 2495, N 26, ст. 3875, ст. 3887, N 27, ст. 4198, ст. 4294; 2017, N 27, ст. 3940; 2018, N 1, ст. 55) приказываю: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заготовки и сбора недревесных лесных ресурсов.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2. Настоящий приказ вступает в силу со дня признания утратившим силу </w:t>
      </w:r>
      <w:hyperlink r:id="rId7" w:history="1">
        <w:r>
          <w:rPr>
            <w:color w:val="0000FF"/>
          </w:rPr>
          <w:t>приказа</w:t>
        </w:r>
      </w:hyperlink>
      <w:r>
        <w:t xml:space="preserve"> Федерального агентства лесного хозяйства от 5 декабря 2011 г. N 512 "Об утверждении Правил заготовки и сбора недревесных лесных ресурсов" (зарегистрирован Министерством юстиции Российской Федерации 16 апреля 2012 г., регистрационный N 23850).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jc w:val="right"/>
      </w:pPr>
      <w:r>
        <w:t>Министр</w:t>
      </w:r>
    </w:p>
    <w:p w:rsidR="00C25C6F" w:rsidRDefault="00C25C6F">
      <w:pPr>
        <w:pStyle w:val="ConsPlusNormal"/>
        <w:jc w:val="right"/>
      </w:pPr>
      <w:r>
        <w:t>Д.Н.КОБЫЛКИН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jc w:val="right"/>
        <w:outlineLvl w:val="0"/>
      </w:pPr>
      <w:r>
        <w:t>Утверждены</w:t>
      </w:r>
    </w:p>
    <w:p w:rsidR="00C25C6F" w:rsidRDefault="00C25C6F">
      <w:pPr>
        <w:pStyle w:val="ConsPlusNormal"/>
        <w:jc w:val="right"/>
      </w:pPr>
      <w:r>
        <w:t>приказом Минприроды России</w:t>
      </w:r>
    </w:p>
    <w:p w:rsidR="00C25C6F" w:rsidRDefault="00C25C6F">
      <w:pPr>
        <w:pStyle w:val="ConsPlusNormal"/>
        <w:jc w:val="right"/>
      </w:pPr>
      <w:r>
        <w:t>от 16.07.2018 N 325</w:t>
      </w:r>
    </w:p>
    <w:p w:rsidR="00C25C6F" w:rsidRDefault="00C25C6F">
      <w:pPr>
        <w:pStyle w:val="ConsPlusNormal"/>
        <w:jc w:val="right"/>
      </w:pPr>
    </w:p>
    <w:p w:rsidR="00C25C6F" w:rsidRDefault="00C25C6F">
      <w:pPr>
        <w:pStyle w:val="ConsPlusTitle"/>
        <w:jc w:val="center"/>
      </w:pPr>
      <w:bookmarkStart w:id="0" w:name="P30"/>
      <w:bookmarkEnd w:id="0"/>
      <w:r>
        <w:t>ПРАВИЛА ЗАГОТОВКИ И СБОРА НЕДРЕВЕСНЫХ ЛЕСНЫХ РЕСУРСОВ</w:t>
      </w:r>
    </w:p>
    <w:p w:rsidR="00C25C6F" w:rsidRDefault="00C25C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25C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25C6F" w:rsidRDefault="00C25C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25C6F" w:rsidRDefault="00C25C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27.02.2020 N 100)</w:t>
            </w:r>
          </w:p>
        </w:tc>
      </w:tr>
    </w:tbl>
    <w:p w:rsidR="00C25C6F" w:rsidRDefault="00C25C6F">
      <w:pPr>
        <w:pStyle w:val="ConsPlusNormal"/>
        <w:jc w:val="both"/>
      </w:pPr>
    </w:p>
    <w:p w:rsidR="00C25C6F" w:rsidRDefault="00C25C6F">
      <w:pPr>
        <w:pStyle w:val="ConsPlusTitle"/>
        <w:jc w:val="center"/>
        <w:outlineLvl w:val="1"/>
      </w:pPr>
      <w:r>
        <w:t>I. Общие положения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ind w:firstLine="540"/>
        <w:jc w:val="both"/>
      </w:pPr>
      <w:r>
        <w:lastRenderedPageBreak/>
        <w:t xml:space="preserve">1. Настоящие Правила заготовки и сбора недревесных лесных ресурсов (далее - Правила) разработаны в соответствии со </w:t>
      </w:r>
      <w:hyperlink r:id="rId9" w:history="1">
        <w:r>
          <w:rPr>
            <w:color w:val="0000FF"/>
          </w:rPr>
          <w:t>статьей 32</w:t>
        </w:r>
      </w:hyperlink>
      <w:r>
        <w:t xml:space="preserve"> Лесного кодекса Российской Федерации (Собрание законодательства Российской Федерации, 2006, N 50, ст. 5278; 2008, N 20, ст. 2251, N 30, ст. 3597, ст. 3599, ст. 3616, N 52, ст. 6236; 2009, N 11, ст. 1261, N 29, ст. 3601, N 30, ст. 3735, N 52, ст. 6441, 2010, N 30, ст. 3998; 2011, N 1, ст. 54, N 25, ст. 3530, N 27, ст. 3880, N 29, ст. 4291, N 30, ст. 4590, N 48, ст. 6732, N 50, ст. 7343; 2012, N 26, ст. 3446, N 31, ст. 4322; 2013, N 51, ст. 6680, N 52, ст. 6961, ст. 6971, ст. 6980; 2014, N 11, ст. 1092, N 26, ст. 3377, ст. 3386, N 30, ст. 4251; 2015, N 27, ст. 3997, N 29, ст. 4350, ст. 4359; 2016, N 1, ст. 75, N 18, ст. 2495, N 26, ст. 3875, ст. 3887, N 27, ст. 4198, ст. 4294; 2017, N 27, ст. 3940; 2018, N 1, ст. 55) (далее - Лесной кодекс Российской Федерации) и регулируют отношения, возникающие при заготовке и сборе недревесных лесных ресурсов, за исключением случаев заготовки и сбора этих видов ресурсов гражданами для собственных нужд.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2. Заготовка и сбор недревесных лесных ресурсов представляют собой предпринимательскую деятельность, связанную с изъятием, хранением и вывозом соответствующих лесных ресурсов из леса &lt;1&gt;.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1 статьи 32</w:t>
        </w:r>
      </w:hyperlink>
      <w:r>
        <w:t xml:space="preserve"> Лесного кодекса Российской Федерации.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ind w:firstLine="540"/>
        <w:jc w:val="both"/>
      </w:pPr>
      <w:r>
        <w:t>3. К недревесным лесным ресурсам относятся пни, береста, кора деревьев и кустарников, хворост, валежник,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 &lt;2&gt;.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2 статьи 32</w:t>
        </w:r>
      </w:hyperlink>
      <w:r>
        <w:t xml:space="preserve"> Лесного кодекса Российской Федерации.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ind w:firstLine="540"/>
        <w:jc w:val="both"/>
      </w:pPr>
      <w:r>
        <w:t>4. Граждане, юридические лица осуществляют заготовку и сбор недревесных лесных ресурсов на основании договоров аренды лесных участков &lt;3&gt;.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2" w:history="1">
        <w:r>
          <w:rPr>
            <w:color w:val="0000FF"/>
          </w:rPr>
          <w:t>Часть 4 статьи 32</w:t>
        </w:r>
      </w:hyperlink>
      <w:r>
        <w:t xml:space="preserve"> Лесного кодекса Российской Федерации.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ind w:firstLine="540"/>
        <w:jc w:val="both"/>
      </w:pPr>
      <w:r>
        <w:t>5. В исключительных случаях, предусмотренных законами субъектов Российской Федерации, допускается осуществление заготовки елей или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 &lt;4&gt;.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Часть 4.1 статьи 32</w:t>
        </w:r>
      </w:hyperlink>
      <w:r>
        <w:t xml:space="preserve"> Лесного кодекса Российской Федерации.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ind w:firstLine="540"/>
        <w:jc w:val="both"/>
      </w:pPr>
      <w:r>
        <w:t>6. Невыполнение гражданами, юридическими лицами, осуществляющими использование лесов,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купли-продажи лесных насаждений &lt;5&gt;.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Часть 2 статьи 24</w:t>
        </w:r>
      </w:hyperlink>
      <w:r>
        <w:t xml:space="preserve"> Лесного кодекса Российской Федерации.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ind w:firstLine="540"/>
        <w:jc w:val="both"/>
      </w:pPr>
      <w:r>
        <w:t xml:space="preserve">7. Заготовленные недревесные лесные ресурсы являются согласно </w:t>
      </w:r>
      <w:hyperlink r:id="rId15" w:history="1">
        <w:r>
          <w:rPr>
            <w:color w:val="0000FF"/>
          </w:rPr>
          <w:t>части 1 статьи 20</w:t>
        </w:r>
      </w:hyperlink>
      <w:r>
        <w:t xml:space="preserve"> Лесного кодекса Российской Федерации собственностью арендатора лесного участка.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lastRenderedPageBreak/>
        <w:t xml:space="preserve">8. Заготовка и сбор не древесных лесных ресурсов могут ограничиваться в соответствии со </w:t>
      </w:r>
      <w:hyperlink r:id="rId16" w:history="1">
        <w:r>
          <w:rPr>
            <w:color w:val="0000FF"/>
          </w:rPr>
          <w:t>статьей 27</w:t>
        </w:r>
      </w:hyperlink>
      <w:r>
        <w:t xml:space="preserve"> Лесного кодекса Российской Федерации.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9. Заготовка и сбор недревесных лесных ресурсов могут быть ограничены или запрещены в районах, загрязненных радиоактивными веществами &lt;6&gt;.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декабря 1992 г. N 1008 "О режиме территорий, подвергшихся радиоактивному загрязнению вследствие катастрофы на Чернобыльской АЭС" (Собрание актов Президента Российской Федерации и Правительства Российской Федерации, 1993, N 5, ст. 387; Собрание законодательства Российской Федерации, 1996, N 13, ст. 1365).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ind w:firstLine="540"/>
        <w:jc w:val="both"/>
      </w:pPr>
      <w:r>
        <w:t>10. Настоящие Правила применяются во всех лесных районах Российской Федерации.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Title"/>
        <w:jc w:val="center"/>
        <w:outlineLvl w:val="1"/>
      </w:pPr>
      <w:r>
        <w:t>II. Права и обязанности граждан, юридических</w:t>
      </w:r>
    </w:p>
    <w:p w:rsidR="00C25C6F" w:rsidRDefault="00C25C6F">
      <w:pPr>
        <w:pStyle w:val="ConsPlusTitle"/>
        <w:jc w:val="center"/>
      </w:pPr>
      <w:r>
        <w:t>лиц, осуществляющих использование лесов для заготовки</w:t>
      </w:r>
    </w:p>
    <w:p w:rsidR="00C25C6F" w:rsidRDefault="00C25C6F">
      <w:pPr>
        <w:pStyle w:val="ConsPlusTitle"/>
        <w:jc w:val="center"/>
      </w:pPr>
      <w:r>
        <w:t>и сбора недревесных лесных ресурсов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ind w:firstLine="540"/>
        <w:jc w:val="both"/>
      </w:pPr>
      <w:r>
        <w:t>11. Граждане, юридические лица, использующие леса для заготовки и сбора недревесных лесных ресурсов, имеют право: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осуществлять использование лесов в соответствии с условиями договора аренды лесного участка (договора купли-продажи лесных насаждений);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создавать согласно </w:t>
      </w:r>
      <w:hyperlink r:id="rId18" w:history="1">
        <w:r>
          <w:rPr>
            <w:color w:val="0000FF"/>
          </w:rPr>
          <w:t>части 1 статьи 13</w:t>
        </w:r>
      </w:hyperlink>
      <w:r>
        <w:t xml:space="preserve"> Лесного кодекса Российской Федерации лесную инфраструктуру, в том числе лесные дороги;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возводить согласно </w:t>
      </w:r>
      <w:hyperlink r:id="rId19" w:history="1">
        <w:r>
          <w:rPr>
            <w:color w:val="0000FF"/>
          </w:rPr>
          <w:t>части 3 статьи 32</w:t>
        </w:r>
      </w:hyperlink>
      <w:r>
        <w:t xml:space="preserve"> Лесного кодекса Российской Федерации на предоставленных лесных участках навесы и другие временные постройки.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12. Граждане, юридические лица, использующие леса для заготовки и сбора недревесных лесных ресурсов, обязаны: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составлять проект освоения лесов в соответствии с </w:t>
      </w:r>
      <w:hyperlink r:id="rId20" w:history="1">
        <w:r>
          <w:rPr>
            <w:color w:val="0000FF"/>
          </w:rPr>
          <w:t>частью 1 статьи 88</w:t>
        </w:r>
      </w:hyperlink>
      <w:r>
        <w:t xml:space="preserve"> Лесного кодекса Российской Федерации;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осуществлять использование лесов в соответствии с проектом освоения лесов;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соблюдать условия договора аренды лесного участка (договора купли-продажи лесных насаждений);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осуществлять меры санитарной безопасности в лесах, в том числе санитарно-оздоровительные и профилактические мероприятия по защите лесов в соответствии со </w:t>
      </w:r>
      <w:hyperlink r:id="rId21" w:history="1">
        <w:r>
          <w:rPr>
            <w:color w:val="0000FF"/>
          </w:rPr>
          <w:t>статьей 60.3</w:t>
        </w:r>
      </w:hyperlink>
      <w:r>
        <w:t xml:space="preserve"> Лесного кодекса Российской Федерации;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соблюдать требования </w:t>
      </w:r>
      <w:hyperlink r:id="rId22" w:history="1">
        <w:r>
          <w:rPr>
            <w:color w:val="0000FF"/>
          </w:rPr>
          <w:t>пункта 13</w:t>
        </w:r>
      </w:hyperlink>
      <w:r>
        <w:t xml:space="preserve"> Правил пожарной безопасности в лесах, утвержденных постановлением Правительства Российской Федерации от 30 июня 2007 г. N 417 (Собрание законодательства Российской Федерации, 2007, N 28, ст. 3432; 2011, N 20, ст. 2820; 2012, N 6, ст. 671, N 46, ст. 6339; 2014, N 16, ст. 1901; 2016, N 35, ст. 5327);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3" w:history="1">
        <w:r>
          <w:rPr>
            <w:color w:val="0000FF"/>
          </w:rPr>
          <w:t>частью 2 статьи 26</w:t>
        </w:r>
      </w:hyperlink>
      <w:r>
        <w:t xml:space="preserve"> Лесного кодекса Российской Федерации подавать ежегодно лесную декларацию;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4" w:history="1">
        <w:r>
          <w:rPr>
            <w:color w:val="0000FF"/>
          </w:rPr>
          <w:t>частью 1 статьи 49</w:t>
        </w:r>
      </w:hyperlink>
      <w:r>
        <w:t xml:space="preserve"> Лесного кодекса Российской Федерации представлять </w:t>
      </w:r>
      <w:r>
        <w:lastRenderedPageBreak/>
        <w:t>отчет об использовании лесов;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5" w:history="1">
        <w:r>
          <w:rPr>
            <w:color w:val="0000FF"/>
          </w:rPr>
          <w:t>частью 1 статьи 60</w:t>
        </w:r>
      </w:hyperlink>
      <w:r>
        <w:t xml:space="preserve"> Лесного кодекса Российской Федерации представлять отчет об охране лесов от пожаров;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6" w:history="1">
        <w:r>
          <w:rPr>
            <w:color w:val="0000FF"/>
          </w:rPr>
          <w:t>частью 1 статьи 60.11</w:t>
        </w:r>
      </w:hyperlink>
      <w:r>
        <w:t xml:space="preserve"> Лесного кодекса Российской Федерации представлять отчет о защите лесов;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7" w:history="1">
        <w:r>
          <w:rPr>
            <w:color w:val="0000FF"/>
          </w:rPr>
          <w:t>частью 4 статьи 91</w:t>
        </w:r>
      </w:hyperlink>
      <w:r>
        <w:t xml:space="preserve"> Лесного кодекса Российской Федерации представлять в государственный лесной реестр в порядке, установленном законодательством Российской Федерации, документированную информацию, предусмотренную </w:t>
      </w:r>
      <w:hyperlink r:id="rId28" w:history="1">
        <w:r>
          <w:rPr>
            <w:color w:val="0000FF"/>
          </w:rPr>
          <w:t>частью 2 статьи 91</w:t>
        </w:r>
      </w:hyperlink>
      <w:r>
        <w:t xml:space="preserve"> Лесного кодекса Российской Федерации.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Title"/>
        <w:jc w:val="center"/>
        <w:outlineLvl w:val="1"/>
      </w:pPr>
      <w:r>
        <w:t>III. Требования к использованию лесов</w:t>
      </w:r>
    </w:p>
    <w:p w:rsidR="00C25C6F" w:rsidRDefault="00C25C6F">
      <w:pPr>
        <w:pStyle w:val="ConsPlusTitle"/>
        <w:jc w:val="center"/>
      </w:pPr>
      <w:r>
        <w:t>при осуществлении заготовки и сбора отдельных видов</w:t>
      </w:r>
    </w:p>
    <w:p w:rsidR="00C25C6F" w:rsidRDefault="00C25C6F">
      <w:pPr>
        <w:pStyle w:val="ConsPlusTitle"/>
        <w:jc w:val="center"/>
      </w:pPr>
      <w:r>
        <w:t>недревесных лесных ресурсов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ind w:firstLine="540"/>
        <w:jc w:val="both"/>
      </w:pPr>
      <w:r>
        <w:t>13. Заготовка пней (заготовка пневого осмола).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пней (заготовка пневого осмола) разрешается в лесах любого целевого назначения, в которых она не может нанести ущерба насаждениям, подросту, несомкнувшимся лесным культурам.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пневого осмола не допускается в противоэрозионных лесах, на берегозащитных, почвозащитных участках лесов, расположенных вдоль водных объектов, склонов оврагов, а также в молодняках с полнотой 0,8 - 1,0 и несомкнувшихся лесных культурах.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Ямы, оставленные после заготовки пней (заготовки пневого осмола), должны быть засыпаны плодородным слоем почвы и заровнены.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14. Заготовка бересты.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бересты допускается с растущих деревьев на отведенных в рубку лесных насаждениях, на лесных участках, подлежащих расчистке (квартальные просеки, минерализованные полосы, противопожарные разрывы, трассы противопожарных и лесохозяйственных дорог и другие площади, на которых не требуется сохранение насаждений), а также со свежесрубленных деревьев на лесосеках при проведении выборочных и сплошных рубок.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бересты с растущих деревьев должна производиться в весенне-летний и осенний периоды без повреждения луба. При этом используемая для заготовки часть ствола не должна превышать половины общей высоты дерева.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бересты с сухостойных и валежных деревьев производится в течение всего года.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Запрещается рубка деревьев для заготовки бересты.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15. Заготовка коры деревьев и кустарников.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коры деревьев и кустарников осуществляется одновременно с рубкой деревьев и кустарников в течение всего года. Ивовое корье заготавливается в весенне-летний период.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Для заготовки ивового корья пригодны кустарниковые ивы в возрасте 5 лет и старше, древовидные - 15 лет и старше.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16. Заготовка хвороста.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lastRenderedPageBreak/>
        <w:t>При заготовке хвороста осуществляется сбор срезанных тонких стволов диаметром в комле до 4 см, а также срезанных вершин, сучьев и ветвей деревьев и кустарников. Заготовка хвороста осуществляется в течение всего года.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17. Заготовка валежника.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При заготовке валежника осуществляется сбор лежащих на поверхности земли остатков стволов деревьев, сучьев, не являющихся порубочными остатками в местах проведения лесосечных работ, и (или) образовавшихся вследствие естественного отмирания деревьев, при их повреждении вредными организмами, буреломе, снеговале.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валежника осуществляется в течение всего года.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18. Заготовка веточного корма.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При заготовке веточного корма осуществляется сбор ветвей толщиной до 1,5 см, заготовленных из побегов лиственных и хвойных пород и предназначенных на корм скоту.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Заготавливают веточный корм из побегов лиственных пород в основном летом, хвойных пород - круглогодично.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веточного корма производится со срубленных деревьев при проведении выборочных и сплошных рубок.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19. Заготовка еловых, пихтовых, сосновых лап.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еловых, пихтовых, сосновых лап разрешается только со срубленных деревьев на лесосеках при проведении выборочных и сплошных рубок.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20. Заготовка елей или деревьев других хвойных пород для новогодних праздников.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елей или деревьев других хвойных пород для новогодних праздников в первую очередь производится на специальных плантациях, лесных участках, подлежащих расчистке (квартальные просеки, минерализованные полосы, противопожарные разрывы, трассы противопожарных и лесохозяйственных дорог и другие площади, где не требуется сохранения подроста и насаждений).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Допускается заготовка елей или деревьев других хвойных пород для новогодних праздников из вершинной части срубленных елей.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21. Заготовка мха, лесной подстилки, опавших листьев, камыша, тростника и подобных лесных ресурсов.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мха, лесной подстилки, опавших листьев, камыша, тростника производится с целью их использования в качестве вспомогательного материала для строительства, а также корма и подстилки для сельскохозяйственных животных или приготовления компоста. При их заготовке не должен быть нанесен вред окружающей природной среде.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мха с помощью бензопил осуществляется только под контролем работников лесничества.</w:t>
      </w:r>
    </w:p>
    <w:p w:rsidR="00C25C6F" w:rsidRDefault="00C25C6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Минприроды России от 27.02.2020 N 100)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Сбор лесной подстилки и опавшего листа разрешается производить на одной и той же площади не чаще одного раза в пять лет. Сбор подстилки должен производиться частично, без углубления на всю ее толщину.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 xml:space="preserve">Сбор лесной подстилки должен производиться в конце летнего периода, но до наступления </w:t>
      </w:r>
      <w:r>
        <w:lastRenderedPageBreak/>
        <w:t>листопада, чтобы опадание листвы и хвои создало естественное удобрение лесной почвы.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Запрещается сбор подстилки в лесах, выполняющих функции защиты природных и иных объектов.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22. Заготовка (выкопка) деревьев, кустарников и лиан на лесных участках.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(выкопка) деревьев на лесных участках может проводиться в хвойных и лиственных насаждениях в возрасте до 20 лет, в кедровых насаждениях и насаждениях твердолиственных пород семенного происхождения - до 40 лет.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(выкопка) кустарников подлеска на лесных участках может проводиться в насаждениях с подлеском средней или высокой густоты и преобладанием в его составе заготавливаемого вида. Число оставшихся кустов заготавливаемого вида после выкопки не должно быть менее 1000 штук на гектар.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Ямы, оставленные после заготовки (выкопки) деревьев, кустарников и лиан, должны быть засыпаны плодородным слоем почвы и заровнены.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23. Заготовка веников, ветвей и кустарников для метел и плетения.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веников, ветвей и кустарников лиственных пород для метел и плетения производится на лесных участках, подлежащих расчистке (квартальные просеки, противопожарные разрывы, трассы противопожарных и лесохозяйственных дорог, сенокосы, линии электропередачи, зоны затопления и другие площади, где не требуется сохранения подроста и насаждений), а также со срубленных деревьев на лесосеках при проведении выборочных и сплошных рубок.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24. Заготовка древесной зелени.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К древесной зелени относятся листья, почки, хвоя и побеги хвойных и лиственных пород с диаметром до 8 мм у основания.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Заготовка древесной зелени для производства хвойно-витаминной муки разрешается только со срубленных деревьев на лесосеках при проведении выборочных и сплошных рубок.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Для производства пихтового масла разрешается ручная заготовка древесной зелени (пихтовых лап) в спелых пихтовых насаждениях в весенне-летний период с растущих деревьев диаметром не менее 18 см путем обрезки веток острыми инструментами на протяжении не более 30% живой кроны. При этом срезы сучьев должны быть прямыми и гладкими, без отлупов, расщепов, задиров и надломов, а длина оставляемых на деревьях оснований сучьев должна быть не менее 30 см.</w:t>
      </w:r>
    </w:p>
    <w:p w:rsidR="00C25C6F" w:rsidRDefault="00C25C6F">
      <w:pPr>
        <w:pStyle w:val="ConsPlusNormal"/>
        <w:spacing w:before="220"/>
        <w:ind w:firstLine="540"/>
        <w:jc w:val="both"/>
      </w:pPr>
      <w:r>
        <w:t>Повторная заготовка пихтовых лап в одних и тех же насаждениях допускается не ранее чем через 4 - 5 лет.</w:t>
      </w: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jc w:val="both"/>
      </w:pPr>
    </w:p>
    <w:p w:rsidR="00C25C6F" w:rsidRDefault="00C25C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7433" w:rsidRDefault="00777433">
      <w:bookmarkStart w:id="1" w:name="_GoBack"/>
      <w:bookmarkEnd w:id="1"/>
    </w:p>
    <w:sectPr w:rsidR="00777433" w:rsidSect="001168A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6F"/>
    <w:rsid w:val="00583D69"/>
    <w:rsid w:val="00777433"/>
    <w:rsid w:val="00C2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515AF-1E2A-4FB7-8511-33BA90542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5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5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5C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8EC9AC43F5F788E63DAC6793D536E26D05B87B6B981BD1AD58050E8351B7C5EAD017C3348BC395EC6E2AFD0708F59C9369249AD2A482BEl6e4J" TargetMode="External"/><Relationship Id="rId13" Type="http://schemas.openxmlformats.org/officeDocument/2006/relationships/hyperlink" Target="consultantplus://offline/ref=698EC9AC43F5F788E63DAC6793D536E26D06B0776E9F1BD1AD58050E8351B7C5EAD017C3348BC49AEF6E2AFD0708F59C9369249AD2A482BEl6e4J" TargetMode="External"/><Relationship Id="rId18" Type="http://schemas.openxmlformats.org/officeDocument/2006/relationships/hyperlink" Target="consultantplus://offline/ref=698EC9AC43F5F788E63DAC6793D536E26D06B0776E9F1BD1AD58050E8351B7C5EAD017C6308AC8C6B8212BA14255E69C9A69279BCElAe6J" TargetMode="External"/><Relationship Id="rId26" Type="http://schemas.openxmlformats.org/officeDocument/2006/relationships/hyperlink" Target="consultantplus://offline/ref=698EC9AC43F5F788E63DAC6793D536E26D06B0776E9F1BD1AD58050E8351B7C5EAD017C63D8BC8C6B8212BA14255E69C9A69279BCElAe6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98EC9AC43F5F788E63DAC6793D536E26D06B0776E9F1BD1AD58050E8351B7C5EAD017C1318CC8C6B8212BA14255E69C9A69279BCElAe6J" TargetMode="External"/><Relationship Id="rId7" Type="http://schemas.openxmlformats.org/officeDocument/2006/relationships/hyperlink" Target="consultantplus://offline/ref=698EC9AC43F5F788E63DAC6793D536E26F01B07A6C9D1BD1AD58050E8351B7C5F8D04FCF3583DD93E87B7CAC41l5eDJ" TargetMode="External"/><Relationship Id="rId12" Type="http://schemas.openxmlformats.org/officeDocument/2006/relationships/hyperlink" Target="consultantplus://offline/ref=698EC9AC43F5F788E63DAC6793D536E26D06B0776E9F1BD1AD58050E8351B7C5EAD017C3348BC29BE16E2AFD0708F59C9369249AD2A482BEl6e4J" TargetMode="External"/><Relationship Id="rId17" Type="http://schemas.openxmlformats.org/officeDocument/2006/relationships/hyperlink" Target="consultantplus://offline/ref=698EC9AC43F5F788E63DAC6793D536E2670BBE7967CA4CD3FC0D0B0B8B01EDD5FC991BCA2A8AC28CEB657ClAeCJ" TargetMode="External"/><Relationship Id="rId25" Type="http://schemas.openxmlformats.org/officeDocument/2006/relationships/hyperlink" Target="consultantplus://offline/ref=698EC9AC43F5F788E63DAC6793D536E26D06B0776E9F1BD1AD58050E8351B7C5EAD017C63C8DC8C6B8212BA14255E69C9A69279BCElAe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98EC9AC43F5F788E63DAC6793D536E26D06B0776E9F1BD1AD58050E8351B7C5EAD017C3348BC294ED6E2AFD0708F59C9369249AD2A482BEl6e4J" TargetMode="External"/><Relationship Id="rId20" Type="http://schemas.openxmlformats.org/officeDocument/2006/relationships/hyperlink" Target="consultantplus://offline/ref=698EC9AC43F5F788E63DAC6793D536E26D06B0776E9F1BD1AD58050E8351B7C5EAD017C3348BC69BED6E2AFD0708F59C9369249AD2A482BEl6e4J" TargetMode="External"/><Relationship Id="rId29" Type="http://schemas.openxmlformats.org/officeDocument/2006/relationships/hyperlink" Target="consultantplus://offline/ref=698EC9AC43F5F788E63DAC6793D536E26D05B87B6B981BD1AD58050E8351B7C5EAD017C3348BC395EC6E2AFD0708F59C9369249AD2A482BEl6e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98EC9AC43F5F788E63DAC6793D536E26D06B0776E9F1BD1AD58050E8351B7C5EAD017C3348BC29BE06E2AFD0708F59C9369249AD2A482BEl6e4J" TargetMode="External"/><Relationship Id="rId11" Type="http://schemas.openxmlformats.org/officeDocument/2006/relationships/hyperlink" Target="consultantplus://offline/ref=698EC9AC43F5F788E63DAC6793D536E26D06B0776E9F1BD1AD58050E8351B7C5EAD017C3348BC497EF6E2AFD0708F59C9369249AD2A482BEl6e4J" TargetMode="External"/><Relationship Id="rId24" Type="http://schemas.openxmlformats.org/officeDocument/2006/relationships/hyperlink" Target="consultantplus://offline/ref=698EC9AC43F5F788E63DAC6793D536E26D06B0776E9F1BD1AD58050E8351B7C5EAD017C6328AC8C6B8212BA14255E69C9A69279BCElAe6J" TargetMode="External"/><Relationship Id="rId5" Type="http://schemas.openxmlformats.org/officeDocument/2006/relationships/hyperlink" Target="consultantplus://offline/ref=698EC9AC43F5F788E63DAC6793D536E26D05B87B6B981BD1AD58050E8351B7C5EAD017C3348BC395EC6E2AFD0708F59C9369249AD2A482BEl6e4J" TargetMode="External"/><Relationship Id="rId15" Type="http://schemas.openxmlformats.org/officeDocument/2006/relationships/hyperlink" Target="consultantplus://offline/ref=698EC9AC43F5F788E63DAC6793D536E26D06B0776E9F1BD1AD58050E8351B7C5EAD017C3348BC292EE6E2AFD0708F59C9369249AD2A482BEl6e4J" TargetMode="External"/><Relationship Id="rId23" Type="http://schemas.openxmlformats.org/officeDocument/2006/relationships/hyperlink" Target="consultantplus://offline/ref=698EC9AC43F5F788E63DAC6793D536E26D06B0776E9F1BD1AD58050E8351B7C5EAD017C0348BC8C6B8212BA14255E69C9A69279BCElAe6J" TargetMode="External"/><Relationship Id="rId28" Type="http://schemas.openxmlformats.org/officeDocument/2006/relationships/hyperlink" Target="consultantplus://offline/ref=698EC9AC43F5F788E63DAC6793D536E26D06B0776E9F1BD1AD58050E8351B7C5EAD017C3348BC593EB6E2AFD0708F59C9369249AD2A482BEl6e4J" TargetMode="External"/><Relationship Id="rId10" Type="http://schemas.openxmlformats.org/officeDocument/2006/relationships/hyperlink" Target="consultantplus://offline/ref=698EC9AC43F5F788E63DAC6793D536E26D06B0776E9F1BD1AD58050E8351B7C5EAD017C3348BC29BEC6E2AFD0708F59C9369249AD2A482BEl6e4J" TargetMode="External"/><Relationship Id="rId19" Type="http://schemas.openxmlformats.org/officeDocument/2006/relationships/hyperlink" Target="consultantplus://offline/ref=698EC9AC43F5F788E63DAC6793D536E26D06B0776E9F1BD1AD58050E8351B7C5EAD017C3348BC29BEE6E2AFD0708F59C9369249AD2A482BEl6e4J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98EC9AC43F5F788E63DAC6793D536E26D06B0776E9F1BD1AD58050E8351B7C5EAD017C3348BC29BE06E2AFD0708F59C9369249AD2A482BEl6e4J" TargetMode="External"/><Relationship Id="rId14" Type="http://schemas.openxmlformats.org/officeDocument/2006/relationships/hyperlink" Target="consultantplus://offline/ref=698EC9AC43F5F788E63DAC6793D536E26D06B0776E9F1BD1AD58050E8351B7C5EAD017C33C82C8C6B8212BA14255E69C9A69279BCElAe6J" TargetMode="External"/><Relationship Id="rId22" Type="http://schemas.openxmlformats.org/officeDocument/2006/relationships/hyperlink" Target="consultantplus://offline/ref=698EC9AC43F5F788E63DAC6793D536E26D01BB7F68951BD1AD58050E8351B7C5EAD017C3348BC396EE6E2AFD0708F59C9369249AD2A482BEl6e4J" TargetMode="External"/><Relationship Id="rId27" Type="http://schemas.openxmlformats.org/officeDocument/2006/relationships/hyperlink" Target="consultantplus://offline/ref=698EC9AC43F5F788E63DAC6793D536E26D06B0776E9F1BD1AD58050E8351B7C5EAD017C3348BC590EB6E2AFD0708F59C9369249AD2A482BEl6e4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2768</Words>
  <Characters>15784</Characters>
  <Application>Microsoft Office Word</Application>
  <DocSecurity>0</DocSecurity>
  <Lines>131</Lines>
  <Paragraphs>37</Paragraphs>
  <ScaleCrop>false</ScaleCrop>
  <Company>PNO</Company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Здоровец Анастасия Романовна</dc:creator>
  <cp:keywords/>
  <dc:description/>
  <cp:lastModifiedBy>Здоровец Анастасия Романовна</cp:lastModifiedBy>
  <cp:revision>2</cp:revision>
  <dcterms:created xsi:type="dcterms:W3CDTF">2020-11-18T09:30:00Z</dcterms:created>
  <dcterms:modified xsi:type="dcterms:W3CDTF">2020-11-18T09:31:00Z</dcterms:modified>
</cp:coreProperties>
</file>