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4"/>
        <w:ind w:left="0" w:righ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Ответы на часто задаваемые вопросы </w:t>
      </w:r>
      <w:r>
        <w:rPr>
          <w:b/>
          <w:color w:val="000000"/>
          <w:sz w:val="28"/>
          <w:szCs w:val="28"/>
        </w:rPr>
        <w:t xml:space="preserve">по тематике исполнения налоговых уведомлений, направленных в 202</w:t>
      </w:r>
      <w:r>
        <w:rPr>
          <w:b/>
          <w:color w:val="000000"/>
          <w:sz w:val="28"/>
          <w:szCs w:val="28"/>
        </w:rPr>
        <w:t xml:space="preserve">4</w:t>
      </w:r>
      <w:r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 xml:space="preserve">оду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Что такое налоговое уведомление и как его исполнить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Обязанность по ежегодному исчислению </w:t>
      </w:r>
      <w:r>
        <w:rPr>
          <w:color w:val="000000"/>
          <w:sz w:val="28"/>
          <w:szCs w:val="28"/>
        </w:rPr>
        <w:t xml:space="preserve">в отношении </w:t>
      </w:r>
      <w:r>
        <w:rPr>
          <w:color w:val="000000"/>
          <w:sz w:val="28"/>
          <w:szCs w:val="28"/>
        </w:rPr>
        <w:t xml:space="preserve">транспортных средств и недвижимого имущества </w:t>
      </w:r>
      <w:r>
        <w:rPr>
          <w:color w:val="000000"/>
          <w:sz w:val="28"/>
          <w:szCs w:val="28"/>
        </w:rPr>
        <w:t xml:space="preserve">налогоплательщиков-физических лиц транспортного налога, земельного налога, налога на имущество возложена на налоговые органы (</w:t>
      </w:r>
      <w:r>
        <w:rPr>
          <w:color w:val="000000"/>
          <w:sz w:val="28"/>
          <w:szCs w:val="28"/>
        </w:rPr>
        <w:t xml:space="preserve">пункт 2 </w:t>
      </w:r>
      <w:r>
        <w:rPr>
          <w:color w:val="000000"/>
          <w:sz w:val="28"/>
          <w:szCs w:val="28"/>
        </w:rPr>
        <w:t xml:space="preserve">ст</w:t>
      </w:r>
      <w:r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 xml:space="preserve">52 Налогового кодекса </w:t>
      </w:r>
      <w:r>
        <w:rPr>
          <w:color w:val="000000"/>
          <w:sz w:val="28"/>
          <w:szCs w:val="28"/>
        </w:rPr>
        <w:t xml:space="preserve">Российской Федерации, далее – Н</w:t>
      </w:r>
      <w:r>
        <w:rPr>
          <w:color w:val="000000"/>
          <w:sz w:val="28"/>
          <w:szCs w:val="28"/>
        </w:rPr>
        <w:t xml:space="preserve">К РФ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налоговые органы не позднее 30 дней до наступления срока </w:t>
      </w:r>
      <w:r>
        <w:rPr>
          <w:color w:val="000000"/>
          <w:sz w:val="28"/>
          <w:szCs w:val="28"/>
        </w:rPr>
        <w:t xml:space="preserve">уплаты </w:t>
      </w:r>
      <w:r>
        <w:rPr>
          <w:color w:val="000000"/>
          <w:sz w:val="28"/>
          <w:szCs w:val="28"/>
        </w:rPr>
        <w:t xml:space="preserve">по вышеперечисленным налогам направляют налогоплательщикам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налоговые уведомление для уплаты налогов.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налогового уведомления утверждена приказом ФНС России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27.09.2022 № ЕД-7-21/866@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включает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  <w:lang w:val="en-US"/>
        </w:rPr>
        <w:t xml:space="preserve">QR</w:t>
      </w:r>
      <w:r>
        <w:rPr>
          <w:color w:val="000000"/>
          <w:sz w:val="28"/>
          <w:szCs w:val="28"/>
        </w:rPr>
        <w:t xml:space="preserve">-код, штрих-код, </w:t>
      </w:r>
      <w:r>
        <w:rPr>
          <w:color w:val="000000"/>
          <w:sz w:val="28"/>
          <w:szCs w:val="28"/>
        </w:rPr>
        <w:t xml:space="preserve">УИН, </w:t>
      </w:r>
      <w:r>
        <w:rPr>
          <w:color w:val="000000"/>
          <w:sz w:val="28"/>
          <w:szCs w:val="28"/>
        </w:rPr>
        <w:t xml:space="preserve">банковские реквизиты платежа)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если общая сумма налогов, исчисленных налоговым органом, составляет менее 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</w:t>
      </w:r>
      <w:r>
        <w:rPr>
          <w:color w:val="000000"/>
          <w:sz w:val="28"/>
          <w:szCs w:val="28"/>
        </w:rPr>
        <w:t xml:space="preserve">такого </w:t>
      </w:r>
      <w:r>
        <w:rPr>
          <w:color w:val="000000"/>
          <w:sz w:val="28"/>
          <w:szCs w:val="28"/>
        </w:rPr>
        <w:t xml:space="preserve">налогового уведомления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Налоговое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"consultantplus://offline/ref=52C97BCA316C18EC794E3A00FBFD3ED8B33AA38E433935002DC8EEF1761FD358981D23FAFCDE9EBF92625CA00B41E87626E13DA941D0D366I70BH"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уведомление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может быть 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аправлено </w:t>
      </w:r>
      <w:r>
        <w:rPr>
          <w:color w:val="000000"/>
          <w:sz w:val="28"/>
          <w:szCs w:val="28"/>
        </w:rPr>
        <w:t xml:space="preserve">налогоплательщику </w:t>
      </w:r>
      <w:r>
        <w:rPr>
          <w:color w:val="000000"/>
          <w:sz w:val="28"/>
          <w:szCs w:val="28"/>
        </w:rPr>
        <w:t xml:space="preserve">по почте заказным письмом или передано в электронной форме через личный кабинет налогоплательщика</w:t>
      </w:r>
      <w:r>
        <w:rPr>
          <w:color w:val="000000"/>
          <w:sz w:val="28"/>
          <w:szCs w:val="28"/>
        </w:rPr>
        <w:t xml:space="preserve">, личный кабинет на едином портале государственных и муниципальных услуг.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Налогоплательщик (его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consultantplus://offline/ref=96DA80ECADC330BAF129C43A7C4211C1101317633752A1BA039446D53F0CEC6214475A04DB388EB507D07D2833g9I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законный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</w:t>
      </w:r>
      <w:r>
        <w:rPr>
          <w:color w:val="000000"/>
          <w:sz w:val="28"/>
          <w:szCs w:val="28"/>
        </w:rPr>
        <w:t xml:space="preserve">(далее – МФЦ) </w:t>
      </w:r>
      <w:r>
        <w:rPr>
          <w:color w:val="000000"/>
          <w:sz w:val="28"/>
          <w:szCs w:val="28"/>
        </w:rPr>
        <w:t xml:space="preserve">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</w:t>
      </w:r>
      <w:r>
        <w:rPr>
          <w:color w:val="000000"/>
          <w:sz w:val="28"/>
          <w:szCs w:val="28"/>
        </w:rPr>
        <w:t xml:space="preserve">МФЦ</w:t>
      </w:r>
      <w:r>
        <w:rPr>
          <w:color w:val="000000"/>
          <w:sz w:val="28"/>
          <w:szCs w:val="28"/>
        </w:rPr>
        <w:t xml:space="preserve">) в срок не позднее пяти дней со дня получения налоговым органом заявления о выдаче налогового уведомления</w:t>
      </w:r>
      <w:r>
        <w:rPr>
          <w:color w:val="000000"/>
          <w:sz w:val="28"/>
          <w:szCs w:val="28"/>
        </w:rPr>
        <w:t xml:space="preserve"> (форма заявления утверждена приказом ФНС России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20.10.2022 № ЕД-7-21/947@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Налоговое уведомление за налоговый период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года должно быть исполнено (налоги в нём оплачены) не позднее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года.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Основные и</w:t>
      </w:r>
      <w:r>
        <w:rPr>
          <w:b/>
          <w:color w:val="000000"/>
          <w:sz w:val="28"/>
          <w:szCs w:val="28"/>
        </w:rPr>
        <w:t xml:space="preserve">зменения в налогообложении имущества физических лиц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Налоговые уведомления, направленные в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, содержат расче</w:t>
      </w:r>
      <w:r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налогов</w:t>
      </w:r>
      <w:r>
        <w:rPr>
          <w:color w:val="000000"/>
          <w:sz w:val="28"/>
          <w:szCs w:val="28"/>
        </w:rPr>
        <w:t xml:space="preserve"> на имущество физических лиц </w:t>
      </w:r>
      <w:r>
        <w:rPr>
          <w:color w:val="000000"/>
          <w:sz w:val="28"/>
          <w:szCs w:val="28"/>
        </w:rPr>
        <w:t xml:space="preserve">за налоговый период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(за исключением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Донецкой </w:t>
      </w:r>
      <w:r>
        <w:rPr>
          <w:b/>
          <w:color w:val="000000"/>
          <w:sz w:val="28"/>
          <w:szCs w:val="28"/>
        </w:rPr>
        <w:t xml:space="preserve">Народной Республики, Луганской Народной Республики, Запорожской области и Херсонской области, в которых налоги на имущество физических лиц </w:t>
      </w:r>
      <w:r>
        <w:rPr>
          <w:b/>
          <w:color w:val="000000"/>
          <w:sz w:val="28"/>
          <w:szCs w:val="28"/>
        </w:rPr>
        <w:t xml:space="preserve">на налоговый период 2023 года не введены</w:t>
      </w:r>
      <w:r>
        <w:rPr>
          <w:b/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по сравнению с предыдущим налоговым периодом произошли следующие основные изменения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</w:t>
      </w:r>
      <w:r>
        <w:rPr>
          <w:b/>
          <w:color w:val="000000"/>
          <w:sz w:val="28"/>
          <w:szCs w:val="28"/>
        </w:rPr>
        <w:t xml:space="preserve">ранспортн</w:t>
      </w:r>
      <w:r>
        <w:rPr>
          <w:b/>
          <w:color w:val="000000"/>
          <w:sz w:val="28"/>
          <w:szCs w:val="28"/>
        </w:rPr>
        <w:t xml:space="preserve">ый</w:t>
      </w:r>
      <w:r>
        <w:rPr>
          <w:b/>
          <w:color w:val="000000"/>
          <w:sz w:val="28"/>
          <w:szCs w:val="28"/>
        </w:rPr>
        <w:t xml:space="preserve"> налог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расчете налога применен </w:t>
      </w:r>
      <w:r>
        <w:rPr>
          <w:color w:val="000000"/>
          <w:sz w:val="28"/>
          <w:szCs w:val="28"/>
        </w:rPr>
        <w:t xml:space="preserve">сформированный Минпромторгом России </w:t>
      </w:r>
      <w:r>
        <w:rPr>
          <w:color w:val="000000"/>
          <w:sz w:val="28"/>
          <w:szCs w:val="28"/>
        </w:rPr>
        <w:t xml:space="preserve">Перечень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"https://minpromtorg.gov.ru/docs/list/?pdfModa1ID=66d31fb1-06db-4b83-8e4c-36042fed9b80&amp;fileModa1ID=d15b8fe2-4a36-459a-b316-2b001b5c1a18"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https://minpromtorg.gov.ru/docs/list/?pdfModa1ID=66d31fb1-06db-4b83-8e4c-36042fed9b80&amp;fileModa1ID=d15b8fe2-4a36-459a-b316-2b001b5c1a18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легковых автомобилей средней стоимостью от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млн руб. за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год, размещенный на </w:t>
      </w:r>
      <w:r>
        <w:rPr>
          <w:color w:val="000000"/>
          <w:sz w:val="28"/>
          <w:szCs w:val="28"/>
        </w:rPr>
        <w:t xml:space="preserve">официальном </w:t>
      </w:r>
      <w:r>
        <w:rPr>
          <w:color w:val="000000"/>
          <w:sz w:val="28"/>
          <w:szCs w:val="28"/>
        </w:rPr>
        <w:t xml:space="preserve">сайте Минпромторга России (</w:t>
      </w:r>
      <w:r>
        <w:rPr>
          <w:color w:val="000000"/>
          <w:sz w:val="28"/>
          <w:szCs w:val="28"/>
        </w:rPr>
        <w:t xml:space="preserve">для налогообложения с применением повышающего коэффициента </w:t>
      </w:r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использ</w:t>
      </w:r>
      <w:r>
        <w:rPr>
          <w:color w:val="000000"/>
          <w:sz w:val="28"/>
          <w:szCs w:val="28"/>
        </w:rPr>
        <w:t xml:space="preserve">уются </w:t>
      </w:r>
      <w:r>
        <w:rPr>
          <w:color w:val="000000"/>
          <w:sz w:val="28"/>
          <w:szCs w:val="28"/>
        </w:rPr>
        <w:t xml:space="preserve">позиции</w:t>
      </w:r>
      <w:r>
        <w:rPr>
          <w:color w:val="000000"/>
          <w:sz w:val="28"/>
          <w:szCs w:val="28"/>
        </w:rPr>
        <w:t xml:space="preserve"> Перечня</w:t>
      </w:r>
      <w:r>
        <w:rPr>
          <w:color w:val="000000"/>
          <w:sz w:val="28"/>
          <w:szCs w:val="28"/>
        </w:rPr>
        <w:t xml:space="preserve"> для легковых автомобилей средней стоимостью от 10 млн. </w:t>
      </w:r>
      <w:r>
        <w:rPr>
          <w:color w:val="000000"/>
          <w:sz w:val="28"/>
          <w:szCs w:val="28"/>
        </w:rPr>
        <w:t xml:space="preserve">до 15 млн. рублей, с года выпуска которых прошло не более 10 лет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средней стоимостью от 15 млн. рублей, с года выпуска которых прошло не более 20 лет)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примен</w:t>
      </w:r>
      <w:r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 xml:space="preserve">изменения в системе налоговых с</w:t>
      </w:r>
      <w:r>
        <w:rPr>
          <w:color w:val="000000"/>
          <w:sz w:val="28"/>
          <w:szCs w:val="28"/>
        </w:rPr>
        <w:t xml:space="preserve">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</w:t>
      </w:r>
      <w:r>
        <w:rPr>
          <w:b/>
          <w:color w:val="000000"/>
          <w:sz w:val="28"/>
          <w:szCs w:val="28"/>
        </w:rPr>
        <w:t xml:space="preserve">емельн</w:t>
      </w:r>
      <w:r>
        <w:rPr>
          <w:b/>
          <w:color w:val="000000"/>
          <w:sz w:val="28"/>
          <w:szCs w:val="28"/>
        </w:rPr>
        <w:t xml:space="preserve">ый</w:t>
      </w:r>
      <w:r>
        <w:rPr>
          <w:b/>
          <w:color w:val="000000"/>
          <w:sz w:val="28"/>
          <w:szCs w:val="28"/>
        </w:rPr>
        <w:t xml:space="preserve"> налог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примен</w:t>
      </w:r>
      <w:r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 xml:space="preserve">изменения в системе налоговых ставок и льгот в соответствии с нормативными правовыми актами муниципальных образований</w:t>
      </w:r>
      <w:r>
        <w:rPr>
          <w:color w:val="000000"/>
          <w:sz w:val="28"/>
          <w:szCs w:val="28"/>
        </w:rPr>
        <w:t xml:space="preserve"> (законами городов федерального значения) </w:t>
      </w:r>
      <w:r>
        <w:rPr>
          <w:color w:val="000000"/>
          <w:sz w:val="28"/>
          <w:szCs w:val="28"/>
        </w:rPr>
        <w:t xml:space="preserve">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применены ограничения </w:t>
      </w:r>
      <w:r>
        <w:rPr>
          <w:color w:val="000000"/>
          <w:sz w:val="28"/>
          <w:szCs w:val="28"/>
        </w:rPr>
        <w:t xml:space="preserve">роста </w:t>
      </w:r>
      <w:r>
        <w:rPr>
          <w:color w:val="000000"/>
          <w:sz w:val="28"/>
          <w:szCs w:val="28"/>
        </w:rPr>
        <w:t xml:space="preserve">налоговой базы в соответствии с</w:t>
      </w:r>
      <w:r>
        <w:rPr>
          <w:color w:val="000000"/>
          <w:sz w:val="28"/>
          <w:szCs w:val="28"/>
        </w:rPr>
        <w:t xml:space="preserve"> пунктом</w:t>
      </w:r>
      <w:r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 xml:space="preserve"> статьи 2</w:t>
      </w:r>
      <w:r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от 26.03.2022 № 67-ФЗ</w:t>
      </w:r>
      <w:r>
        <w:rPr>
          <w:color w:val="000000"/>
          <w:sz w:val="28"/>
          <w:szCs w:val="28"/>
        </w:rPr>
        <w:t xml:space="preserve">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</w:r>
      <w:r>
        <w:rPr>
          <w:color w:val="000000"/>
          <w:sz w:val="28"/>
          <w:szCs w:val="28"/>
        </w:rPr>
        <w:t xml:space="preserve">. В частности, </w:t>
      </w:r>
      <w:r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 xml:space="preserve">увеличени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кадастровой стоимости земельного участка на 01.01.2023 </w:t>
      </w:r>
      <w:r>
        <w:rPr>
          <w:color w:val="000000"/>
          <w:sz w:val="28"/>
          <w:szCs w:val="28"/>
        </w:rPr>
        <w:t xml:space="preserve">(в т.ч. в результате проведения в 2022 г. нового тура государственной кадастровой оценки земель</w:t>
      </w:r>
      <w:r>
        <w:rPr>
          <w:color w:val="000000"/>
          <w:sz w:val="28"/>
          <w:szCs w:val="28"/>
        </w:rPr>
        <w:t xml:space="preserve"> и утверждения его результатов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для расчета налога за </w:t>
      </w:r>
      <w:r>
        <w:rPr>
          <w:color w:val="000000"/>
          <w:sz w:val="28"/>
          <w:szCs w:val="28"/>
        </w:rPr>
        <w:t xml:space="preserve">налоговый период </w:t>
      </w:r>
      <w:r>
        <w:rPr>
          <w:color w:val="000000"/>
          <w:sz w:val="28"/>
          <w:szCs w:val="28"/>
        </w:rPr>
        <w:t xml:space="preserve">2023 год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применена кадастровая стоимость земельного участка</w:t>
      </w:r>
      <w:r>
        <w:rPr>
          <w:color w:val="000000"/>
          <w:sz w:val="28"/>
          <w:szCs w:val="28"/>
        </w:rPr>
        <w:t xml:space="preserve">, внесенная в Единый государственный реестр недвижимости по состоянию </w:t>
      </w:r>
      <w:r>
        <w:rPr>
          <w:color w:val="000000"/>
          <w:sz w:val="28"/>
          <w:szCs w:val="28"/>
        </w:rPr>
        <w:t xml:space="preserve">на 01.01.2022, за исключением случаев, если кадастровая стоимость земельного участка увеличилась вследствие изменения его характеристик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информацией о кадастровой стоимости земельного участка </w:t>
      </w:r>
      <w:r>
        <w:rPr>
          <w:color w:val="000000"/>
          <w:sz w:val="28"/>
          <w:szCs w:val="28"/>
        </w:rPr>
        <w:t xml:space="preserve">можно ознакомиться, получив </w:t>
      </w:r>
      <w:r>
        <w:rPr>
          <w:color w:val="000000"/>
          <w:sz w:val="28"/>
          <w:szCs w:val="28"/>
        </w:rPr>
        <w:t xml:space="preserve">выписку из Единого государственного реестра недвижимости </w:t>
      </w:r>
      <w:r>
        <w:rPr>
          <w:color w:val="000000"/>
          <w:sz w:val="28"/>
          <w:szCs w:val="28"/>
        </w:rPr>
        <w:t xml:space="preserve">в МФЦ или на официальном сайте Росреестра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</w:t>
      </w:r>
      <w:r>
        <w:rPr>
          <w:b/>
          <w:color w:val="000000"/>
          <w:sz w:val="28"/>
          <w:szCs w:val="28"/>
        </w:rPr>
        <w:t xml:space="preserve">алог на имущество физических лиц 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расчет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налога за налоговый период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примен</w:t>
      </w:r>
      <w:r>
        <w:rPr>
          <w:color w:val="000000"/>
          <w:sz w:val="28"/>
          <w:szCs w:val="28"/>
        </w:rPr>
        <w:t xml:space="preserve">ена </w:t>
      </w:r>
      <w:r>
        <w:rPr>
          <w:color w:val="000000"/>
          <w:sz w:val="28"/>
          <w:szCs w:val="28"/>
        </w:rPr>
        <w:t xml:space="preserve">кадастровая стоимость объект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z w:val="28"/>
          <w:szCs w:val="28"/>
        </w:rPr>
        <w:t xml:space="preserve"> недвижимости, при этом для исчисления налога использ</w:t>
      </w:r>
      <w:r>
        <w:rPr>
          <w:color w:val="000000"/>
          <w:sz w:val="28"/>
          <w:szCs w:val="28"/>
        </w:rPr>
        <w:t xml:space="preserve">ованы </w:t>
      </w:r>
      <w:r>
        <w:rPr>
          <w:color w:val="000000"/>
          <w:sz w:val="28"/>
          <w:szCs w:val="28"/>
        </w:rPr>
        <w:t xml:space="preserve">коэффициенты: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10-типроцентного огр</w:t>
      </w:r>
      <w:r>
        <w:rPr>
          <w:color w:val="000000"/>
          <w:sz w:val="28"/>
          <w:szCs w:val="28"/>
        </w:rPr>
        <w:t xml:space="preserve">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 (за исключением объектов, включенных в перечень, определяемый в соответствии 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"consultantplus://offline/ref=9A13DDD4F5949782ABCC7F471EBAA0DBD36BC9A260528B02D0162870BECD6B1D85164060D1454186A700C56DB049752E2E5FDCF0DDC33DACJ"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п. 7 ст.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 а также объектов,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"consultantplus://offline/ref=9A13DDD4F5949782ABCC7F471EBAA0DBD36BC9A260528B02D0162870BECD6B1D85164060D4424C86A700C56DB049752E2E5FDCF0DDC33DACJ"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абз. 2 п. 10 ст.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кроме</w:t>
      </w:r>
      <w:r>
        <w:rPr>
          <w:color w:val="000000"/>
          <w:sz w:val="28"/>
          <w:szCs w:val="28"/>
        </w:rPr>
        <w:t xml:space="preserve"> гаражей и машино-мест, расположенных в таких объектах налогообложения);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0.6 в</w:t>
      </w:r>
      <w:r>
        <w:rPr>
          <w:color w:val="000000"/>
          <w:sz w:val="28"/>
          <w:szCs w:val="28"/>
        </w:rPr>
        <w:t xml:space="preserve"> отношении объекта налогообложения, образованного начиная с четвертого налогового периода, в кото</w:t>
      </w:r>
      <w:r>
        <w:rPr>
          <w:color w:val="000000"/>
          <w:sz w:val="28"/>
          <w:szCs w:val="28"/>
        </w:rPr>
        <w:t xml:space="preserve">ром налоговая база определяется в соответствующем муниципальном образовании (городе федерального значения) исходя из кадастровой стоимости – применительно к первому налоговому периоду, за который исчисляется налог в отношении этого объекта налогообложения </w:t>
      </w:r>
      <w:r>
        <w:rPr>
          <w:color w:val="000000"/>
          <w:sz w:val="28"/>
          <w:szCs w:val="28"/>
        </w:rPr>
        <w:t xml:space="preserve">(за исключением объектов, включенных в перечень, определяемый в соответствии 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"consultantplus://offline/ref=9A13DDD4F5949782ABCC7F471EBAA0DBD36BC9A260528B02D0162870BECD6B1D85164060D1454186A700C56DB049752E2E5FDCF0DDC33DACJ"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п. 7 ст.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 а также объектов,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"consultantplus://offline/ref=9A13DDD4F5949782ABCC7F471EBAA0DBD36BC9A260528B02D0162870BECD6B1D85164060D4424C86A700C56DB049752E2E5FDCF0DDC33DACJ"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абз. 2 п. 10 ст.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 </w:t>
      </w:r>
      <w:r>
        <w:rPr>
          <w:color w:val="000000"/>
          <w:sz w:val="28"/>
          <w:szCs w:val="28"/>
        </w:rPr>
        <w:t xml:space="preserve">кроме</w:t>
      </w:r>
      <w:r>
        <w:rPr>
          <w:color w:val="000000"/>
          <w:sz w:val="28"/>
          <w:szCs w:val="28"/>
        </w:rPr>
        <w:t xml:space="preserve"> гаражей и машино-мест, расположенных в таких объектах налогообложения);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0.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году был 0.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– для </w:t>
      </w:r>
      <w:r>
        <w:rPr>
          <w:color w:val="000000"/>
          <w:sz w:val="28"/>
          <w:szCs w:val="28"/>
        </w:rPr>
        <w:t xml:space="preserve">г. Севастополя где кадастровая стоимость применяется в качестве налоговой базы </w:t>
      </w:r>
      <w:r>
        <w:rPr>
          <w:color w:val="000000"/>
          <w:sz w:val="28"/>
          <w:szCs w:val="28"/>
        </w:rPr>
        <w:t xml:space="preserve">третий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год;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примен</w:t>
      </w:r>
      <w:r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 xml:space="preserve">изменения в системе налоговых ставок и льгот в соответствии с нормативными правовыми актами муниципальных образований </w:t>
      </w:r>
      <w:r>
        <w:rPr>
          <w:color w:val="000000"/>
          <w:sz w:val="28"/>
          <w:szCs w:val="28"/>
        </w:rPr>
        <w:t xml:space="preserve">(городов федерального значения) </w:t>
      </w:r>
      <w:r>
        <w:rPr>
          <w:color w:val="000000"/>
          <w:sz w:val="28"/>
          <w:szCs w:val="28"/>
        </w:rPr>
        <w:t xml:space="preserve">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</w:t>
      </w:r>
      <w:r>
        <w:rPr>
          <w:color w:val="000000"/>
          <w:sz w:val="28"/>
          <w:szCs w:val="28"/>
        </w:rPr>
        <w:t xml:space="preserve"> 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Поскольку расчет налогов на имущество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</w:t>
      </w:r>
      <w:r>
        <w:rPr>
          <w:color w:val="000000"/>
          <w:sz w:val="28"/>
          <w:szCs w:val="28"/>
        </w:rPr>
        <w:t xml:space="preserve">м органе </w:t>
      </w:r>
      <w:r>
        <w:rPr>
          <w:color w:val="000000"/>
          <w:sz w:val="28"/>
          <w:szCs w:val="28"/>
        </w:rPr>
        <w:t xml:space="preserve">или обратившись в контакт-центр ФНС России (тел. 8 800 – 222-22-22).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Почему в 202</w:t>
      </w:r>
      <w:r>
        <w:rPr>
          <w:b/>
          <w:color w:val="000000"/>
          <w:sz w:val="28"/>
          <w:szCs w:val="28"/>
        </w:rPr>
        <w:t xml:space="preserve">4</w:t>
      </w:r>
      <w:r>
        <w:rPr>
          <w:b/>
          <w:color w:val="000000"/>
          <w:sz w:val="28"/>
          <w:szCs w:val="28"/>
        </w:rPr>
        <w:t xml:space="preserve"> году изменились </w:t>
      </w:r>
      <w:r>
        <w:rPr>
          <w:b/>
          <w:color w:val="000000"/>
          <w:sz w:val="28"/>
          <w:szCs w:val="28"/>
        </w:rPr>
        <w:t xml:space="preserve">суммы </w:t>
      </w:r>
      <w:r>
        <w:rPr>
          <w:b/>
          <w:color w:val="000000"/>
          <w:sz w:val="28"/>
          <w:szCs w:val="28"/>
        </w:rPr>
        <w:t xml:space="preserve">налог</w:t>
      </w:r>
      <w:r>
        <w:rPr>
          <w:b/>
          <w:color w:val="000000"/>
          <w:sz w:val="28"/>
          <w:szCs w:val="28"/>
        </w:rPr>
        <w:t xml:space="preserve">ов</w:t>
      </w:r>
      <w:r>
        <w:rPr>
          <w:b/>
          <w:color w:val="000000"/>
          <w:sz w:val="28"/>
          <w:szCs w:val="28"/>
        </w:rPr>
        <w:t xml:space="preserve"> на имущество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органе </w:t>
      </w:r>
      <w:r>
        <w:rPr>
          <w:color w:val="000000"/>
          <w:sz w:val="28"/>
          <w:szCs w:val="28"/>
        </w:rPr>
        <w:t xml:space="preserve">или обратившись в контакт-центр ФНС России (тел. 8 800 – 222-22-22). Существуют и общие основания для изменения налоговой нагрузки.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Транспортный налог.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Рост налога может обуславливаться следующими причинами: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изменени</w:t>
      </w:r>
      <w:r>
        <w:rPr>
          <w:color w:val="000000"/>
          <w:sz w:val="28"/>
          <w:szCs w:val="28"/>
        </w:rPr>
        <w:t xml:space="preserve">е налоговых ставок и (или) отмена льгот, полномочия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млн. руб. согласно размещённому на сайте Минпромторга России Перечню легковых автомобилей средней стоимостью от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миллионов рублей для налогового периода 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года;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наличие иных оснований (например, в результате утраты права на применение льготы, поступления уточненных сведений от органов</w:t>
      </w:r>
      <w:r>
        <w:rPr>
          <w:color w:val="000000"/>
          <w:sz w:val="28"/>
          <w:szCs w:val="28"/>
        </w:rPr>
        <w:t xml:space="preserve">, осуществляющих государственную регистрацию транспортных средств,</w:t>
      </w:r>
      <w:r>
        <w:rPr>
          <w:color w:val="000000"/>
          <w:sz w:val="28"/>
          <w:szCs w:val="28"/>
        </w:rPr>
        <w:t xml:space="preserve"> и т.п.).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Земельный налог.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Рост налога может обуславливаться следующими причинами: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изменение налоговых ставок и (или) отмена льго</w:t>
      </w:r>
      <w:r>
        <w:rPr>
          <w:color w:val="000000"/>
          <w:sz w:val="28"/>
          <w:szCs w:val="28"/>
        </w:rPr>
        <w:t xml:space="preserve">т, полномочия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изменение кадастровой стоимости земельного участка, например, </w:t>
      </w:r>
      <w:r>
        <w:rPr>
          <w:color w:val="000000"/>
          <w:sz w:val="28"/>
          <w:szCs w:val="28"/>
        </w:rPr>
        <w:t xml:space="preserve">вследствие изменения характеристик земельного участка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(вида разрешенного использования, категории земель, площади)</w:t>
      </w:r>
      <w:r>
        <w:rPr>
          <w:color w:val="000000"/>
          <w:sz w:val="28"/>
          <w:szCs w:val="28"/>
        </w:rPr>
        <w:t xml:space="preserve">, притом что отсутствуют основания для применения ограничения роста </w:t>
      </w:r>
      <w:r>
        <w:rPr>
          <w:color w:val="000000"/>
          <w:sz w:val="28"/>
          <w:szCs w:val="28"/>
        </w:rPr>
        <w:t xml:space="preserve">налоговой базы</w:t>
      </w:r>
      <w:r>
        <w:rPr>
          <w:color w:val="000000"/>
          <w:sz w:val="28"/>
          <w:szCs w:val="28"/>
        </w:rPr>
        <w:t xml:space="preserve">, предусмотренн</w:t>
      </w:r>
      <w:r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3) наличие иных оснований (например, в результате перерасчета налога, утраты права на применение льготы, поступления уточненных сведений от органов</w:t>
      </w:r>
      <w:r>
        <w:rPr>
          <w:color w:val="000000"/>
          <w:sz w:val="28"/>
          <w:szCs w:val="28"/>
        </w:rPr>
        <w:t xml:space="preserve"> Росреестра</w:t>
      </w:r>
      <w:r>
        <w:rPr>
          <w:color w:val="000000"/>
          <w:sz w:val="28"/>
          <w:szCs w:val="28"/>
        </w:rPr>
        <w:t xml:space="preserve"> и т.п.).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Налог на имущество физ</w:t>
      </w:r>
      <w:r>
        <w:rPr>
          <w:b/>
          <w:color w:val="000000"/>
          <w:sz w:val="28"/>
          <w:szCs w:val="28"/>
        </w:rPr>
        <w:t xml:space="preserve">ических лиц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Рост налога может обуславливаться изменение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налоговых ставок или отмен</w:t>
      </w:r>
      <w:r>
        <w:rPr>
          <w:color w:val="000000"/>
          <w:sz w:val="28"/>
          <w:szCs w:val="28"/>
        </w:rPr>
        <w:t xml:space="preserve">ой</w:t>
      </w:r>
      <w:r>
        <w:rPr>
          <w:color w:val="000000"/>
          <w:sz w:val="28"/>
          <w:szCs w:val="28"/>
        </w:rPr>
        <w:t xml:space="preserve"> льгот, полномочия по установлению которых относятся к компетенции представительных органов муниципальных образований</w:t>
      </w:r>
      <w:r>
        <w:rPr>
          <w:color w:val="000000"/>
          <w:sz w:val="28"/>
          <w:szCs w:val="28"/>
        </w:rPr>
        <w:t xml:space="preserve"> (городов федерального значения)</w:t>
      </w:r>
      <w:r>
        <w:rPr>
          <w:color w:val="000000"/>
          <w:sz w:val="28"/>
          <w:szCs w:val="28"/>
        </w:rPr>
        <w:t xml:space="preserve">. С информацией о налоговых ставках и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Как проверить налоговые ставки и льготы, указанные в налоговом уведомлении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Налоговые ставки и льготы устанавливаются нормативными правовыми актами различного уровня: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транспортному налогу: главой 28 </w:t>
      </w:r>
      <w:r>
        <w:rPr>
          <w:color w:val="000000"/>
          <w:sz w:val="28"/>
          <w:szCs w:val="28"/>
        </w:rPr>
        <w:t xml:space="preserve">НК РФ</w:t>
      </w:r>
      <w:r>
        <w:rPr>
          <w:color w:val="000000"/>
          <w:sz w:val="28"/>
          <w:szCs w:val="28"/>
        </w:rPr>
        <w:t xml:space="preserve"> и законами субъектов Российской Федерации по месту нахождения транспортного средства;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земельному налогу и налогу на имущество физических лиц: главами 31, 32 Н</w:t>
      </w:r>
      <w:r>
        <w:rPr>
          <w:color w:val="000000"/>
          <w:sz w:val="28"/>
          <w:szCs w:val="28"/>
        </w:rPr>
        <w:t xml:space="preserve">К РФ </w:t>
      </w:r>
      <w:r>
        <w:rPr>
          <w:color w:val="000000"/>
          <w:sz w:val="28"/>
          <w:szCs w:val="28"/>
        </w:rPr>
        <w:t xml:space="preserve">и нормативными правовыми актами представительных органов муниципальных образований (законами городов федерального значения) по месту нахождения объектов недвижимости.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</w:instrText>
      </w:r>
      <w:r>
        <w:rPr>
          <w:rStyle w:val="790"/>
          <w:color w:val="000000"/>
          <w:sz w:val="28"/>
          <w:szCs w:val="28"/>
          <w:u w:val="none"/>
        </w:rPr>
        <w:instrText xml:space="preserve">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 либо обратившись в налоговые </w:t>
      </w:r>
      <w:r>
        <w:rPr>
          <w:color w:val="000000"/>
          <w:sz w:val="28"/>
          <w:szCs w:val="28"/>
        </w:rPr>
        <w:t xml:space="preserve">органы </w:t>
      </w:r>
      <w:r>
        <w:rPr>
          <w:color w:val="000000"/>
          <w:sz w:val="28"/>
          <w:szCs w:val="28"/>
        </w:rPr>
        <w:t xml:space="preserve">или в контакт-центр ФНС России (тел. 8 800 – 222-22-22).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Как воспользоваться льготой, неучтенной в налоговом уведомлении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Шаг 1.</w:t>
      </w:r>
      <w:r>
        <w:rPr>
          <w:color w:val="000000"/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Шаг 2.</w:t>
      </w:r>
      <w:r>
        <w:rPr>
          <w:color w:val="000000"/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Транспортный налог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Освобождение от уплаты налога </w:t>
      </w:r>
      <w:r>
        <w:rPr>
          <w:color w:val="000000"/>
          <w:sz w:val="28"/>
          <w:szCs w:val="28"/>
        </w:rPr>
        <w:t xml:space="preserve">может быть </w:t>
      </w:r>
      <w:r>
        <w:rPr>
          <w:color w:val="000000"/>
          <w:sz w:val="28"/>
          <w:szCs w:val="28"/>
        </w:rPr>
        <w:t xml:space="preserve">предусмотрено законами субъектов Российской Федерации для определенных льготных категорий налогоплательщиков (инвалиды, ветераны, многодетные и т.п.)</w:t>
      </w:r>
      <w:r>
        <w:rPr>
          <w:color w:val="000000"/>
          <w:sz w:val="28"/>
          <w:szCs w:val="28"/>
        </w:rPr>
        <w:t xml:space="preserve">, а также статьей 356.1 НК РФ для отдельных категорий налогоплательщиков (в т.ч. </w:t>
      </w:r>
      <w:r>
        <w:rPr>
          <w:color w:val="000000"/>
          <w:sz w:val="28"/>
          <w:szCs w:val="28"/>
        </w:rPr>
        <w:t xml:space="preserve">лица, имеющие трех и более несовершеннолетних детей, один из родителей (законных представителей) ребенка-инвалида)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 либо обратившись в налоговые инспекции или в контакт-центр ФНС России (тел. 8 800 – 222-22-22).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Земельный налог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</w:t>
      </w:r>
      <w:r>
        <w:rPr>
          <w:color w:val="000000"/>
          <w:sz w:val="28"/>
          <w:szCs w:val="28"/>
        </w:rPr>
        <w:t xml:space="preserve">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предпенсионеры; </w:t>
      </w:r>
      <w:r>
        <w:rPr>
          <w:rFonts w:eastAsia="Calibri"/>
          <w:color w:val="000000"/>
          <w:sz w:val="28"/>
          <w:szCs w:val="28"/>
        </w:rPr>
        <w:t xml:space="preserve">инвалиды I и II групп; инвалиды с детства; ветераны Великой Отечественной войны и боевых действий; </w:t>
      </w:r>
      <w:r>
        <w:rPr>
          <w:rFonts w:eastAsia="Calibri"/>
          <w:color w:val="000000"/>
          <w:sz w:val="28"/>
          <w:szCs w:val="28"/>
        </w:rPr>
        <w:t xml:space="preserve">многодетные; </w:t>
      </w:r>
      <w:r>
        <w:rPr>
          <w:rFonts w:eastAsia="Calibri"/>
          <w:color w:val="000000"/>
          <w:sz w:val="28"/>
          <w:szCs w:val="28"/>
        </w:rPr>
        <w:t xml:space="preserve">другие категории граждан, указанные в п. 5</w:t>
      </w:r>
      <w:r>
        <w:rPr>
          <w:color w:val="000000"/>
          <w:sz w:val="28"/>
          <w:szCs w:val="28"/>
        </w:rPr>
        <w:t xml:space="preserve"> ст. 391 </w:t>
      </w:r>
      <w:r>
        <w:rPr>
          <w:color w:val="000000"/>
          <w:sz w:val="28"/>
          <w:szCs w:val="28"/>
        </w:rPr>
        <w:t xml:space="preserve">НК РФ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земельных участков.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 либо обратившись в налоговые инспекции или в контакт-центр ФНС России (тел. 8 800 – 222-22-22).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Налог на имущество физ</w:t>
      </w:r>
      <w:r>
        <w:rPr>
          <w:b/>
          <w:color w:val="000000"/>
          <w:sz w:val="28"/>
          <w:szCs w:val="28"/>
        </w:rPr>
        <w:t xml:space="preserve">ических лиц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Льготы для 1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-категорий налогоплательщиков (пенсионеры, предпенсионеры, инвалиды, ветераны, военнослужащие, владельцы хозстроений до 50 кв.м и т.п.) предусмотрены ст. 407 Н</w:t>
      </w:r>
      <w:r>
        <w:rPr>
          <w:color w:val="000000"/>
          <w:sz w:val="28"/>
          <w:szCs w:val="28"/>
        </w:rPr>
        <w:t xml:space="preserve">К РФ</w:t>
      </w:r>
      <w:r>
        <w:rPr>
          <w:color w:val="000000"/>
          <w:sz w:val="28"/>
          <w:szCs w:val="28"/>
        </w:rPr>
        <w:t xml:space="preserve">. Льгота предоставляется в размере подлежащей уплате суммы налога в отношении объекта, не используемого в предпринимательской деятельности. Льгота</w:t>
      </w:r>
      <w:r>
        <w:rPr>
          <w:color w:val="000000"/>
          <w:sz w:val="28"/>
          <w:szCs w:val="28"/>
        </w:rPr>
        <w:t xml:space="preserve"> освобождает от уплаты налога </w:t>
      </w:r>
      <w:r>
        <w:rPr>
          <w:color w:val="000000"/>
          <w:sz w:val="28"/>
          <w:szCs w:val="28"/>
        </w:rPr>
        <w:t xml:space="preserve">в отношении одного объекта каждого вида</w:t>
      </w:r>
      <w:r>
        <w:rPr>
          <w:color w:val="000000"/>
          <w:sz w:val="28"/>
          <w:szCs w:val="28"/>
        </w:rPr>
        <w:t xml:space="preserve"> с максимально исчисленной суммой налога</w:t>
      </w:r>
      <w:r>
        <w:rPr>
          <w:color w:val="000000"/>
          <w:sz w:val="28"/>
          <w:szCs w:val="28"/>
        </w:rPr>
        <w:t xml:space="preserve">: 1) квартира или комната; 2) жилой дом; 3) помещение или сооружение, указанные в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"consultantplus://offline/ref=697DE8A3430C0BCBCAD69872580B1B75689B1F6C3FC35CD82AD13AB7DC362D43E4BC14749D0C20o7W2L"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подпункте 14 пункта 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статьи 407 </w:t>
      </w:r>
      <w:r>
        <w:rPr>
          <w:color w:val="000000"/>
          <w:sz w:val="28"/>
          <w:szCs w:val="28"/>
        </w:rPr>
        <w:t xml:space="preserve">НК</w:t>
      </w:r>
      <w:r>
        <w:rPr>
          <w:color w:val="000000"/>
          <w:sz w:val="28"/>
          <w:szCs w:val="28"/>
        </w:rPr>
        <w:t xml:space="preserve"> РФ; 4) хозяйственное строение или сооружение, указанные в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"consultantplus://offline/ref=697DE8A3430C0BCBCAD69872580B1B75689B1F6C3FC35CD82AD13AB7DC362D43E4BC14749D0C20o7W3L"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подпункте 15 пункта 1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статьи 407 </w:t>
      </w:r>
      <w:r>
        <w:rPr>
          <w:color w:val="000000"/>
          <w:sz w:val="28"/>
          <w:szCs w:val="28"/>
        </w:rPr>
        <w:t xml:space="preserve">НК</w:t>
      </w:r>
      <w:r>
        <w:rPr>
          <w:color w:val="000000"/>
          <w:sz w:val="28"/>
          <w:szCs w:val="28"/>
        </w:rPr>
        <w:t xml:space="preserve"> РФ; 5) гараж или машино-место.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https://login.consultant.ru/link/?req=doc&amp;base=LAW&amp;n=396191&amp;dst=100020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объектов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налогообложения, включенных в перечень, определяемый в соответствии с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https://login.consultant.ru/link/?req=doc&amp;base=LAW&amp;n=463356&amp;dst=9219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пунктом 7 статьи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 в отношении объектов налогообложения, предусмотренных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https://login.consultant.ru/link/?req=doc&amp;base=LAW&amp;n=463356&amp;dst=9764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абзацем вторым пункта 10 статьи 378.2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налогооблагаемого имущества.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</w:t>
      </w:r>
      <w:r>
        <w:rPr>
          <w:color w:val="000000"/>
          <w:sz w:val="28"/>
          <w:szCs w:val="28"/>
        </w:rPr>
        <w:t xml:space="preserve">на сайте ФНС России </w:t>
      </w:r>
      <w:r>
        <w:rPr>
          <w:color w:val="000000"/>
          <w:sz w:val="28"/>
          <w:szCs w:val="28"/>
        </w:rPr>
        <w:t xml:space="preserve">(</w:t>
      </w:r>
      <w:r>
        <w:rPr>
          <w:rStyle w:val="790"/>
          <w:color w:val="000000"/>
          <w:sz w:val="28"/>
          <w:szCs w:val="28"/>
          <w:u w:val="none"/>
        </w:rPr>
        <w:fldChar w:fldCharType="begin"/>
      </w:r>
      <w:r>
        <w:rPr>
          <w:rStyle w:val="790"/>
          <w:color w:val="000000"/>
          <w:sz w:val="28"/>
          <w:szCs w:val="28"/>
          <w:u w:val="none"/>
        </w:rPr>
        <w:instrText xml:space="preserve"> HYPERLINK "https://www.nalog.ru/rn77/service/tax/" </w:instrText>
      </w:r>
      <w:r>
        <w:rPr>
          <w:rStyle w:val="790"/>
          <w:color w:val="000000"/>
          <w:sz w:val="28"/>
          <w:szCs w:val="28"/>
          <w:u w:val="none"/>
        </w:rPr>
        <w:fldChar w:fldCharType="separate"/>
      </w:r>
      <w:r>
        <w:rPr>
          <w:rStyle w:val="790"/>
          <w:color w:val="000000"/>
          <w:sz w:val="28"/>
          <w:szCs w:val="28"/>
          <w:u w:val="none"/>
        </w:rPr>
        <w:t xml:space="preserve">https://www.nalog.ru/rn77/service/tax/</w:t>
      </w:r>
      <w:r>
        <w:rPr>
          <w:rStyle w:val="790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), либо обратившись в налоговые инспекции или в контакт-центр ФНС России (тел. 8 800 – 222-22-22).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Шаг 3.</w:t>
      </w:r>
      <w:r>
        <w:rPr>
          <w:color w:val="000000"/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</w:t>
      </w:r>
      <w:r>
        <w:rPr>
          <w:color w:val="000000"/>
          <w:sz w:val="28"/>
          <w:szCs w:val="28"/>
        </w:rPr>
        <w:t xml:space="preserve">налоговая </w:t>
      </w:r>
      <w:r>
        <w:rPr>
          <w:color w:val="000000"/>
          <w:sz w:val="28"/>
          <w:szCs w:val="28"/>
        </w:rPr>
        <w:t xml:space="preserve">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через уполномоченный МФЦ.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Почему при увеличении кадастровой стоимости земельного налога на 01.01.2023 в налоговом уведомлении для расчета </w:t>
      </w:r>
      <w:r>
        <w:rPr>
          <w:b/>
          <w:color w:val="000000"/>
          <w:sz w:val="28"/>
          <w:szCs w:val="28"/>
        </w:rPr>
        <w:t xml:space="preserve">земельного </w:t>
      </w:r>
      <w:r>
        <w:rPr>
          <w:b/>
          <w:color w:val="000000"/>
          <w:sz w:val="28"/>
          <w:szCs w:val="28"/>
        </w:rPr>
        <w:t xml:space="preserve">налога применена кадастровая стоимость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01.01.2022?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</w:t>
      </w:r>
      <w:r>
        <w:rPr>
          <w:color w:val="000000"/>
          <w:sz w:val="28"/>
          <w:szCs w:val="28"/>
        </w:rPr>
        <w:t xml:space="preserve">ым</w:t>
      </w:r>
      <w:r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от 26.03.2022 № 67-ФЗ </w:t>
      </w:r>
      <w:r>
        <w:rPr>
          <w:color w:val="000000"/>
          <w:sz w:val="28"/>
          <w:szCs w:val="28"/>
        </w:rPr>
        <w:t xml:space="preserve">в пункт 1 статьи 391 НК РФ внесены изменения, согласно которым </w:t>
      </w:r>
      <w:r>
        <w:rPr>
          <w:color w:val="000000"/>
          <w:sz w:val="28"/>
          <w:szCs w:val="28"/>
        </w:rPr>
        <w:t xml:space="preserve">налоговая </w:t>
      </w:r>
      <w:r>
        <w:rPr>
          <w:color w:val="000000"/>
          <w:sz w:val="28"/>
          <w:szCs w:val="28"/>
        </w:rPr>
        <w:t xml:space="preserve">база в отношении земельного участка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</w:t>
      </w:r>
      <w:r>
        <w:rPr>
          <w:color w:val="000000"/>
          <w:sz w:val="28"/>
          <w:szCs w:val="28"/>
        </w:rPr>
        <w:t xml:space="preserve"> 391 НК РФ</w:t>
      </w:r>
      <w:r>
        <w:rPr>
          <w:color w:val="000000"/>
          <w:sz w:val="28"/>
          <w:szCs w:val="28"/>
        </w:rPr>
        <w:t xml:space="preserve">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</w:t>
      </w:r>
      <w:r>
        <w:rPr>
          <w:color w:val="000000"/>
          <w:sz w:val="28"/>
          <w:szCs w:val="28"/>
        </w:rPr>
        <w:t xml:space="preserve">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</w:t>
      </w:r>
      <w:r>
        <w:rPr>
          <w:b/>
          <w:color w:val="000000"/>
          <w:sz w:val="28"/>
          <w:szCs w:val="28"/>
        </w:rPr>
        <w:t xml:space="preserve">. Что делать, если в налоговом уведомлении некорректная информация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</w:t>
      </w:r>
      <w:r>
        <w:rPr>
          <w:color w:val="000000"/>
          <w:sz w:val="28"/>
          <w:szCs w:val="28"/>
        </w:rPr>
        <w:t xml:space="preserve"> МВД России</w:t>
      </w:r>
      <w:r>
        <w:rPr>
          <w:color w:val="000000"/>
          <w:sz w:val="28"/>
          <w:szCs w:val="28"/>
        </w:rPr>
        <w:t xml:space="preserve">, осуществляющие регистрацию (миграционный учет) физических лиц по месту жительства (месту пребывания), органы</w:t>
      </w:r>
      <w:r>
        <w:rPr>
          <w:color w:val="000000"/>
          <w:sz w:val="28"/>
          <w:szCs w:val="28"/>
        </w:rPr>
        <w:t xml:space="preserve"> Росреестра</w:t>
      </w:r>
      <w:r>
        <w:rPr>
          <w:color w:val="000000"/>
          <w:sz w:val="28"/>
          <w:szCs w:val="28"/>
        </w:rPr>
        <w:t xml:space="preserve">, осуществляющие кадастровый учет и государственную регистрацию прав на недвижимое имущество,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"consultantplus://offline/ref=6F8C3403CE59A5220BDB708F4EC1B517ED98CA8C42A3A953BB47467636620EBA398848729E65824AP971J"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органы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МВД России, МЧС России, Росавиации, Росморречфлота, органы гостехнадзора,</w:t>
      </w:r>
      <w:r>
        <w:rPr>
          <w:color w:val="000000"/>
          <w:sz w:val="28"/>
          <w:szCs w:val="28"/>
        </w:rPr>
        <w:t xml:space="preserve"> осуществляющие регистрацию транспортных средств, органы (учреждения), уполномоченные совершать нотариальные действия, и нотариусы, органы</w:t>
      </w:r>
      <w:r>
        <w:rPr>
          <w:color w:val="000000"/>
          <w:sz w:val="28"/>
          <w:szCs w:val="28"/>
        </w:rPr>
        <w:t xml:space="preserve"> МВД России</w:t>
      </w:r>
      <w:r>
        <w:rPr>
          <w:color w:val="000000"/>
          <w:sz w:val="28"/>
          <w:szCs w:val="28"/>
        </w:rPr>
        <w:t xml:space="preserve">, осуществляющие выдачу и замену документов, удостоверяющих личность гражданина Российской Федерации</w:t>
      </w:r>
      <w:r>
        <w:rPr>
          <w:color w:val="000000"/>
          <w:sz w:val="28"/>
          <w:szCs w:val="28"/>
        </w:rPr>
        <w:t xml:space="preserve"> и т.п.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Ответственность за достоверность, полноту и актуальность указанных сведений, </w:t>
      </w:r>
      <w:r>
        <w:rPr>
          <w:color w:val="000000"/>
          <w:sz w:val="28"/>
          <w:szCs w:val="28"/>
        </w:rPr>
        <w:t xml:space="preserve">используемых в целях налогообложения имущества, несут вышеперечисленные регистрирующие органы. Указанные органы представляют информацию в налоговую службу на основании имеющихся в их информационных ресурсах (реестрах, кадастрах, регистрах и т.п.) сведений.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Если, по мнению налогоплательщика, в налоговом ув</w:t>
      </w:r>
      <w:r>
        <w:rPr>
          <w:color w:val="000000"/>
          <w:sz w:val="28"/>
          <w:szCs w:val="28"/>
        </w:rPr>
        <w:t xml:space="preserve">едомлении имеется неактуальная (некорректная) информация об объекте имущества или его владельце (в т.ч.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для пользователей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ичного кабинета налогоплательщика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через </w:t>
      </w:r>
      <w:r>
        <w:rPr>
          <w:color w:val="000000"/>
          <w:sz w:val="28"/>
          <w:szCs w:val="28"/>
        </w:rPr>
        <w:t xml:space="preserve">этот сервис на сайте ФНС России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для иных лиц: посредством личного обращения в люб</w:t>
      </w:r>
      <w:r>
        <w:rPr>
          <w:color w:val="000000"/>
          <w:sz w:val="28"/>
          <w:szCs w:val="28"/>
        </w:rPr>
        <w:t xml:space="preserve">ой налоговый орган </w:t>
      </w:r>
      <w:r>
        <w:rPr>
          <w:color w:val="000000"/>
          <w:sz w:val="28"/>
          <w:szCs w:val="28"/>
        </w:rPr>
        <w:t xml:space="preserve">либо путём направления почтового сообщения, или с использованием интернет-сервиса ФНС России «Обратиться в ФНС России».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</w:t>
      </w:r>
      <w:r>
        <w:rPr>
          <w:color w:val="000000"/>
          <w:sz w:val="28"/>
          <w:szCs w:val="28"/>
        </w:rPr>
        <w:t xml:space="preserve">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 в регистрирующие органы, пр</w:t>
      </w:r>
      <w:r>
        <w:rPr>
          <w:color w:val="000000"/>
          <w:sz w:val="28"/>
          <w:szCs w:val="28"/>
        </w:rPr>
        <w:t xml:space="preserve">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 (базы данных, карточки расчетов с бюджетом и т.п.).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оснований для перерасчета налога и формирования нового налогового уведомления налогов</w:t>
      </w:r>
      <w:r>
        <w:rPr>
          <w:color w:val="000000"/>
          <w:sz w:val="28"/>
          <w:szCs w:val="28"/>
        </w:rPr>
        <w:t xml:space="preserve">ый орган </w:t>
      </w:r>
      <w:r>
        <w:rPr>
          <w:color w:val="000000"/>
          <w:sz w:val="28"/>
          <w:szCs w:val="28"/>
        </w:rPr>
        <w:t xml:space="preserve">не позднее 30 дней (в исключительных случаях указанный срок может быть продлен не более чем на 30 дней): </w:t>
      </w:r>
      <w:r>
        <w:rPr>
          <w:color w:val="000000"/>
          <w:sz w:val="28"/>
          <w:szCs w:val="28"/>
        </w:rPr>
        <w:t xml:space="preserve">пересмотрит </w:t>
      </w:r>
      <w:r>
        <w:rPr>
          <w:color w:val="000000"/>
          <w:sz w:val="28"/>
          <w:szCs w:val="28"/>
        </w:rPr>
        <w:t xml:space="preserve">ранее начисленную сумму налога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сформирует </w:t>
      </w:r>
      <w:r>
        <w:rPr>
          <w:color w:val="000000"/>
          <w:sz w:val="28"/>
          <w:szCs w:val="28"/>
        </w:rPr>
        <w:t xml:space="preserve">(при наличии оснований) </w:t>
      </w:r>
      <w:r>
        <w:rPr>
          <w:color w:val="000000"/>
          <w:sz w:val="28"/>
          <w:szCs w:val="28"/>
        </w:rPr>
        <w:t xml:space="preserve">новое налоговое уведомление с указанием нового срока уплаты налога и направит ответ на обращение</w:t>
      </w:r>
      <w:r>
        <w:rPr>
          <w:color w:val="000000"/>
          <w:sz w:val="28"/>
          <w:szCs w:val="28"/>
        </w:rPr>
        <w:t xml:space="preserve"> налогоплательщика </w:t>
      </w:r>
      <w:r>
        <w:rPr>
          <w:color w:val="000000"/>
          <w:sz w:val="28"/>
          <w:szCs w:val="28"/>
        </w:rPr>
        <w:t xml:space="preserve">(разместит его в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ичном кабинете налогоплательщика).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Дополнительную информацию можно получить по телефону налогово</w:t>
      </w:r>
      <w:r>
        <w:rPr>
          <w:color w:val="000000"/>
          <w:sz w:val="28"/>
          <w:szCs w:val="28"/>
        </w:rPr>
        <w:t xml:space="preserve">го органа </w:t>
      </w:r>
      <w:r>
        <w:rPr>
          <w:color w:val="000000"/>
          <w:sz w:val="28"/>
          <w:szCs w:val="28"/>
        </w:rPr>
        <w:t xml:space="preserve">или контакт-центра ФНС России: 8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800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222-22-22.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</w:t>
      </w:r>
      <w:r>
        <w:rPr>
          <w:b/>
          <w:color w:val="000000"/>
          <w:sz w:val="28"/>
          <w:szCs w:val="28"/>
        </w:rPr>
        <w:t xml:space="preserve">. Что делать, если налоговое уведомление не получено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Налоговые уведомления владельцам налогооблагаемых объектов</w:t>
      </w:r>
      <w:r>
        <w:rPr>
          <w:color w:val="000000"/>
          <w:sz w:val="28"/>
          <w:szCs w:val="28"/>
        </w:rPr>
        <w:t xml:space="preserve"> недвижимости и транспортных средств</w:t>
      </w:r>
      <w:r>
        <w:rPr>
          <w:color w:val="000000"/>
          <w:sz w:val="28"/>
          <w:szCs w:val="28"/>
        </w:rPr>
        <w:t xml:space="preserve"> направляются налоговыми органами (размещаются в личном кабинете налогоплательщика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личном кабинете на едином портале государственных и муниципальных услуг, далее – ЕПГУ)</w:t>
      </w:r>
      <w:r>
        <w:rPr>
          <w:color w:val="000000"/>
          <w:sz w:val="28"/>
          <w:szCs w:val="28"/>
        </w:rPr>
        <w:t xml:space="preserve"> не позднее 30 дней до наступления срока уплаты налогов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не позднее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декабря года, следующего за истекшим налоговым периодом, за который уплачиваются налоги.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налоговые уведомления</w:t>
      </w:r>
      <w:r>
        <w:rPr>
          <w:color w:val="000000"/>
          <w:sz w:val="28"/>
          <w:szCs w:val="28"/>
        </w:rPr>
        <w:t xml:space="preserve">, по общему правилу,</w:t>
      </w:r>
      <w:r>
        <w:rPr>
          <w:color w:val="000000"/>
          <w:sz w:val="28"/>
          <w:szCs w:val="28"/>
        </w:rPr>
        <w:t xml:space="preserve"> не направляются по почте </w:t>
      </w:r>
      <w:r>
        <w:rPr>
          <w:color w:val="000000"/>
          <w:sz w:val="28"/>
          <w:szCs w:val="28"/>
        </w:rPr>
        <w:t xml:space="preserve">заказными письмами </w:t>
      </w:r>
      <w:r>
        <w:rPr>
          <w:color w:val="000000"/>
          <w:sz w:val="28"/>
          <w:szCs w:val="28"/>
        </w:rPr>
        <w:t xml:space="preserve">на бумажном носителе в следующих случаях: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если общая сумма налогов, отражаемых в налоговом уведомлении, составляет менее 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</w:t>
      </w:r>
      <w:r>
        <w:rPr>
          <w:rStyle w:val="785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налогоплательщик является пользователем интернет-сервиса ФНС России – личный кабинет налогоплательщика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налогоплательщик направил в налоговый орган </w:t>
      </w:r>
      <w:r>
        <w:rPr>
          <w:color w:val="000000"/>
          <w:sz w:val="28"/>
          <w:szCs w:val="28"/>
        </w:rPr>
        <w:t xml:space="preserve">уведомление о необходимости получения документов от налоговых органов в электронной форме через личный кабинет на </w:t>
      </w:r>
      <w:r>
        <w:rPr>
          <w:color w:val="000000"/>
          <w:sz w:val="28"/>
          <w:szCs w:val="28"/>
        </w:rPr>
        <w:t xml:space="preserve">ЕПГУ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иных случаях при неполучении до 1 ноября налогового уведомления за период владения налогооблагаемыми недвижимостью или транспортным средством, налогоплательщику </w:t>
      </w:r>
      <w:r>
        <w:rPr>
          <w:color w:val="000000"/>
          <w:sz w:val="28"/>
          <w:szCs w:val="28"/>
        </w:rPr>
        <w:t xml:space="preserve">целесообразно </w:t>
      </w:r>
      <w:r>
        <w:rPr>
          <w:color w:val="000000"/>
          <w:sz w:val="28"/>
          <w:szCs w:val="28"/>
        </w:rPr>
        <w:t xml:space="preserve">обратиться в налогов</w:t>
      </w:r>
      <w:r>
        <w:rPr>
          <w:color w:val="000000"/>
          <w:sz w:val="28"/>
          <w:szCs w:val="28"/>
        </w:rPr>
        <w:t xml:space="preserve">ый орган </w:t>
      </w:r>
      <w:r>
        <w:rPr>
          <w:color w:val="000000"/>
          <w:sz w:val="28"/>
          <w:szCs w:val="28"/>
        </w:rPr>
        <w:t xml:space="preserve">либо направить информацию через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ичный кабинет налогоплательщика или с использованием интернет-сервиса ФНС России «Обратиться в ФНС России».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Владельцы недвижимости или транспортных средств, которые не получали налоговые уведомления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какой-либо </w:t>
      </w:r>
      <w:r>
        <w:rPr>
          <w:color w:val="000000"/>
          <w:sz w:val="28"/>
          <w:szCs w:val="28"/>
        </w:rPr>
        <w:t xml:space="preserve">налоговый период </w:t>
      </w:r>
      <w:r>
        <w:rPr>
          <w:color w:val="000000"/>
          <w:sz w:val="28"/>
          <w:szCs w:val="28"/>
        </w:rPr>
        <w:t xml:space="preserve">и не заявляли налоговые льготы в отношении налогооблагаемого имущества,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"https://www.nalog.ru/rn77/fl/interest/imuch_mes/"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обязаны сообщать о наличии у них данных объектов в любой налоговый орган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(форма сообщения утверждена приказом </w:t>
      </w:r>
      <w:r>
        <w:rPr>
          <w:color w:val="000000"/>
          <w:sz w:val="28"/>
          <w:szCs w:val="28"/>
        </w:rPr>
        <w:t xml:space="preserve">ФНС России от 23.12.2022 № ЕД-7-21/1250@).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Как получить </w:t>
      </w:r>
      <w:r>
        <w:rPr>
          <w:b/>
          <w:color w:val="000000"/>
          <w:sz w:val="28"/>
          <w:szCs w:val="28"/>
        </w:rPr>
        <w:t xml:space="preserve">и оплатить </w:t>
      </w:r>
      <w:r>
        <w:rPr>
          <w:b/>
          <w:color w:val="000000"/>
          <w:sz w:val="28"/>
          <w:szCs w:val="28"/>
        </w:rPr>
        <w:t xml:space="preserve">налоговое уведомление через ЕПГУ</w:t>
      </w:r>
      <w:r>
        <w:rPr>
          <w:b/>
          <w:color w:val="000000"/>
          <w:sz w:val="28"/>
          <w:szCs w:val="28"/>
        </w:rPr>
        <w:t xml:space="preserve">?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налоговых уведомлений через ЕПГУ возможно при соблюдении двух условий (пункт 1.2 статьи 21 НК РФ):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налогоплательщик должен быть зарегистрирован в единой системе идентификации и аутентификации на ЕПГУ;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налогоплательщик направил через ЕПГУ уведомление о необходимости получения документов от налоговых органов через ЕПГУ (форма такого уведомления утверждена п</w:t>
      </w:r>
      <w:r>
        <w:rPr>
          <w:color w:val="000000"/>
          <w:sz w:val="28"/>
          <w:szCs w:val="28"/>
        </w:rPr>
        <w:t xml:space="preserve">риказом ФНС России от 12.05.2023 № ЕД-7-21/309@)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такого уведомления налоговый орган разместит в личном кабинете пользователя ЕПГУ адресованные ему налоговые уведомления. </w:t>
      </w:r>
      <w:r>
        <w:rPr>
          <w:color w:val="000000"/>
          <w:sz w:val="28"/>
          <w:szCs w:val="28"/>
        </w:rPr>
      </w:r>
    </w:p>
    <w:p>
      <w:pPr>
        <w:pStyle w:val="77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Пользователь ЕПГУ сможет оплатить начисления </w:t>
      </w:r>
      <w:r>
        <w:rPr>
          <w:color w:val="000000"/>
          <w:sz w:val="28"/>
          <w:szCs w:val="28"/>
        </w:rPr>
        <w:t xml:space="preserve">налогов </w:t>
      </w:r>
      <w:r>
        <w:rPr>
          <w:color w:val="000000"/>
          <w:sz w:val="28"/>
          <w:szCs w:val="28"/>
        </w:rPr>
        <w:t xml:space="preserve">из налогового уведомления онлайн в личном кабинете ЕПГУ.</w:t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709" w:right="567" w:bottom="1276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  <w:r>
      <w:rPr>
        <w:rFonts w:ascii="Garamond" w:hAnsi="Garamond"/>
        <w:b/>
        <w:i/>
        <w:color w:val="808080"/>
        <w:sz w:val="16"/>
      </w:rPr>
    </w:r>
    <w:r>
      <w:rPr>
        <w:rFonts w:ascii="Garamond" w:hAnsi="Garamond"/>
        <w:b/>
        <w:i/>
        <w:color w:val="808080"/>
        <w:sz w:val="16"/>
      </w:rPr>
    </w:r>
  </w:p>
  <w:p>
    <w:pPr>
      <w:pStyle w:val="78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  <w:r>
      <w:rPr>
        <w:rFonts w:ascii="Garamond" w:hAnsi="Garamond"/>
        <w:b/>
        <w:i/>
        <w:color w:val="808080"/>
        <w:sz w:val="16"/>
      </w:rPr>
    </w:r>
    <w:r>
      <w:rPr>
        <w:rFonts w:ascii="Garamond" w:hAnsi="Garamond"/>
        <w:b/>
        <w:i/>
        <w:color w:val="808080"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84"/>
        <w:rPr>
          <w:sz w:val="22"/>
          <w:szCs w:val="22"/>
        </w:rPr>
      </w:pPr>
      <w:r>
        <w:rPr>
          <w:rStyle w:val="785"/>
          <w:sz w:val="22"/>
          <w:szCs w:val="22"/>
        </w:rPr>
        <w:footnoteRef/>
      </w:r>
      <w:r>
        <w:rPr>
          <w:sz w:val="22"/>
          <w:szCs w:val="22"/>
        </w:rPr>
        <w:t xml:space="preserve"> После вступления в силу соответствующих изменений в абзаце четвертом пункта 4 статьи 52 НК РФ.</w:t>
      </w:r>
      <w:r>
        <w:rPr>
          <w:sz w:val="22"/>
          <w:szCs w:val="22"/>
        </w:rPr>
      </w:r>
    </w:p>
  </w:footnote>
  <w:footnote w:id="3">
    <w:p>
      <w:pPr>
        <w:pStyle w:val="784"/>
        <w:rPr>
          <w:sz w:val="22"/>
          <w:szCs w:val="22"/>
        </w:rPr>
      </w:pPr>
      <w:r>
        <w:rPr>
          <w:rStyle w:val="785"/>
          <w:sz w:val="22"/>
          <w:szCs w:val="22"/>
        </w:rPr>
        <w:footnoteRef/>
      </w:r>
      <w:r>
        <w:rPr>
          <w:sz w:val="22"/>
          <w:szCs w:val="22"/>
        </w:rPr>
        <w:t xml:space="preserve"> После вступления в силу соответствующих изменений в абзаце четвертом пункта 4 статьи 52 НК РФ.</w:t>
      </w:r>
      <w:r>
        <w:rPr>
          <w:sz w:val="22"/>
          <w:szCs w:val="2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7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rPr>
        <w:rStyle w:val="783"/>
      </w:rPr>
      <w:framePr w:wrap="around" w:vAnchor="text" w:hAnchor="margin" w:xAlign="center" w:y="1"/>
    </w:pPr>
    <w:r>
      <w:rPr>
        <w:rStyle w:val="783"/>
      </w:rPr>
      <w:fldChar w:fldCharType="begin"/>
    </w:r>
    <w:r>
      <w:rPr>
        <w:rStyle w:val="783"/>
      </w:rPr>
      <w:instrText xml:space="preserve">PAGE  </w:instrText>
    </w:r>
    <w:r>
      <w:rPr>
        <w:rStyle w:val="783"/>
      </w:rPr>
      <w:fldChar w:fldCharType="separate"/>
    </w:r>
    <w:r>
      <w:rPr>
        <w:rStyle w:val="783"/>
      </w:rPr>
      <w:t xml:space="preserve">8</w:t>
    </w:r>
    <w:r>
      <w:rPr>
        <w:rStyle w:val="783"/>
      </w:rPr>
      <w:fldChar w:fldCharType="end"/>
    </w:r>
    <w:r>
      <w:rPr>
        <w:rStyle w:val="783"/>
      </w:rPr>
    </w:r>
    <w:r>
      <w:rPr>
        <w:rStyle w:val="783"/>
      </w:rPr>
    </w:r>
  </w:p>
  <w:p>
    <w:pPr>
      <w:pStyle w:val="7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286" w:hanging="360"/>
        <w:tabs>
          <w:tab w:val="num" w:pos="12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6" w:hanging="360"/>
        <w:tabs>
          <w:tab w:val="num" w:pos="20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6" w:hanging="180"/>
        <w:tabs>
          <w:tab w:val="num" w:pos="27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6" w:hanging="360"/>
        <w:tabs>
          <w:tab w:val="num" w:pos="34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6" w:hanging="360"/>
        <w:tabs>
          <w:tab w:val="num" w:pos="41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6" w:hanging="180"/>
        <w:tabs>
          <w:tab w:val="num" w:pos="48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6" w:hanging="360"/>
        <w:tabs>
          <w:tab w:val="num" w:pos="56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6" w:hanging="360"/>
        <w:tabs>
          <w:tab w:val="num" w:pos="63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6" w:hanging="180"/>
        <w:tabs>
          <w:tab w:val="num" w:pos="704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55" w:hanging="655"/>
        <w:tabs>
          <w:tab w:val="num" w:pos="655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b/>
      </w:rPr>
    </w:lvl>
  </w:abstractNum>
  <w:abstractNum w:abstractNumId="7">
    <w:multiLevelType w:val="hybridMultilevel"/>
    <w:lvl w:ilvl="0">
      <w:start w:val="15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86" w:hanging="360"/>
        <w:tabs>
          <w:tab w:val="num" w:pos="12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6" w:hanging="360"/>
        <w:tabs>
          <w:tab w:val="num" w:pos="20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6" w:hanging="180"/>
        <w:tabs>
          <w:tab w:val="num" w:pos="27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6" w:hanging="360"/>
        <w:tabs>
          <w:tab w:val="num" w:pos="34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6" w:hanging="360"/>
        <w:tabs>
          <w:tab w:val="num" w:pos="41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6" w:hanging="180"/>
        <w:tabs>
          <w:tab w:val="num" w:pos="48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6" w:hanging="360"/>
        <w:tabs>
          <w:tab w:val="num" w:pos="56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6" w:hanging="360"/>
        <w:tabs>
          <w:tab w:val="num" w:pos="63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6" w:hanging="180"/>
        <w:tabs>
          <w:tab w:val="num" w:pos="7046" w:leader="none"/>
        </w:tabs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  <w:tabs>
          <w:tab w:val="num" w:pos="660" w:leader="none"/>
        </w:tabs>
      </w:pPr>
    </w:lvl>
    <w:lvl w:ilvl="1">
      <w:start w:val="5"/>
      <w:numFmt w:val="decimal"/>
      <w:isLgl w:val="false"/>
      <w:suff w:val="tab"/>
      <w:lvlText w:val="%1.%2"/>
      <w:lvlJc w:val="left"/>
      <w:pPr>
        <w:ind w:left="660" w:hanging="660"/>
        <w:tabs>
          <w:tab w:val="num" w:pos="660" w:leader="none"/>
        </w:tabs>
      </w:pPr>
    </w:lvl>
    <w:lvl w:ilvl="2">
      <w:start w:val="3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2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1605" w:hanging="885"/>
        <w:tabs>
          <w:tab w:val="num" w:pos="160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2.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86" w:hanging="360"/>
        <w:tabs>
          <w:tab w:val="num" w:pos="1286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646" w:hanging="720"/>
        <w:tabs>
          <w:tab w:val="num" w:pos="164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6" w:hanging="720"/>
        <w:tabs>
          <w:tab w:val="num" w:pos="16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06" w:hanging="1080"/>
        <w:tabs>
          <w:tab w:val="num" w:pos="200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06" w:hanging="1080"/>
        <w:tabs>
          <w:tab w:val="num" w:pos="200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66" w:hanging="1440"/>
        <w:tabs>
          <w:tab w:val="num" w:pos="236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26" w:hanging="1800"/>
        <w:tabs>
          <w:tab w:val="num" w:pos="272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26" w:hanging="1800"/>
        <w:tabs>
          <w:tab w:val="num" w:pos="272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86" w:hanging="2160"/>
        <w:tabs>
          <w:tab w:val="num" w:pos="3086" w:leader="none"/>
        </w:tabs>
      </w:pPr>
    </w:lvl>
  </w:abstractNum>
  <w:abstractNum w:abstractNumId="18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360"/>
        <w:tabs>
          <w:tab w:val="num" w:pos="1286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646" w:hanging="720"/>
        <w:tabs>
          <w:tab w:val="num" w:pos="164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46" w:hanging="720"/>
        <w:tabs>
          <w:tab w:val="num" w:pos="16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06" w:hanging="1080"/>
        <w:tabs>
          <w:tab w:val="num" w:pos="200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06" w:hanging="1080"/>
        <w:tabs>
          <w:tab w:val="num" w:pos="200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66" w:hanging="1440"/>
        <w:tabs>
          <w:tab w:val="num" w:pos="236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26" w:hanging="1800"/>
        <w:tabs>
          <w:tab w:val="num" w:pos="272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26" w:hanging="1800"/>
        <w:tabs>
          <w:tab w:val="num" w:pos="272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86" w:hanging="2160"/>
        <w:tabs>
          <w:tab w:val="num" w:pos="3086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7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.11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6"/>
      <w:numFmt w:val="decimal"/>
      <w:isLgl w:val="false"/>
      <w:suff w:val="tab"/>
      <w:lvlText w:val="2.%1. "/>
      <w:legacy w:legacy="1" w:legacyIndent="0" w:legacySpace="0"/>
      <w:lvlJc w:val="left"/>
      <w:pPr/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  <w:tabs>
          <w:tab w:val="num" w:pos="660" w:leader="none"/>
        </w:tabs>
      </w:pPr>
    </w:lvl>
    <w:lvl w:ilvl="1">
      <w:start w:val="5"/>
      <w:numFmt w:val="decimal"/>
      <w:isLgl w:val="false"/>
      <w:suff w:val="tab"/>
      <w:lvlText w:val="%1.%2"/>
      <w:lvlJc w:val="left"/>
      <w:pPr>
        <w:ind w:left="660" w:hanging="660"/>
        <w:tabs>
          <w:tab w:val="num" w:pos="660" w:leader="none"/>
        </w:tabs>
      </w:pPr>
    </w:lvl>
    <w:lvl w:ilvl="2">
      <w:start w:val="3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4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.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6" w:hanging="360"/>
        <w:tabs>
          <w:tab w:val="num" w:pos="12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605" w:hanging="885"/>
        <w:tabs>
          <w:tab w:val="num" w:pos="160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2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0"/>
      <w:numFmt w:val="decimalZero"/>
      <w:isLgl w:val="false"/>
      <w:suff w:val="tab"/>
      <w:lvlText w:val="%1"/>
      <w:lvlJc w:val="left"/>
      <w:pPr>
        <w:ind w:left="1545" w:hanging="1545"/>
        <w:tabs>
          <w:tab w:val="num" w:pos="1545" w:leader="none"/>
        </w:tabs>
      </w:pPr>
    </w:lvl>
    <w:lvl w:ilvl="1">
      <w:start w:val="0"/>
      <w:numFmt w:val="decimalZero"/>
      <w:isLgl w:val="false"/>
      <w:suff w:val="tab"/>
      <w:lvlText w:val="%1.%2.0"/>
      <w:lvlJc w:val="left"/>
      <w:pPr>
        <w:ind w:left="1545" w:hanging="1545"/>
        <w:tabs>
          <w:tab w:val="num" w:pos="1545" w:leader="none"/>
        </w:tabs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1545" w:hanging="1545"/>
        <w:tabs>
          <w:tab w:val="num" w:pos="1545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545" w:hanging="1545"/>
        <w:tabs>
          <w:tab w:val="num" w:pos="154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545" w:hanging="1545"/>
        <w:tabs>
          <w:tab w:val="num" w:pos="1545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545" w:hanging="1545"/>
        <w:tabs>
          <w:tab w:val="num" w:pos="154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45" w:hanging="1545"/>
        <w:tabs>
          <w:tab w:val="num" w:pos="1545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  <w:tabs>
          <w:tab w:val="num" w:pos="21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.3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isLgl w:val="false"/>
        <w:suff w:val="tab"/>
        <w:lvlText w:val="1.%1. "/>
        <w:legacy w:legacy="1" w:legacyIndent="0" w:legacySpace="0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isLgl w:val="false"/>
        <w:suff w:val="tab"/>
        <w:lvlText w:val="1.11.%1. "/>
        <w:legacy w:legacy="1" w:legacyIndent="0" w:legacySpace="0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isLgl w:val="false"/>
        <w:suff w:val="tab"/>
        <w:lvlText w:val="1.%1. "/>
        <w:legacy w:legacy="1" w:legacyIndent="0" w:legacySpace="0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3"/>
  </w:num>
  <w:num w:numId="11">
    <w:abstractNumId w:val="30"/>
  </w:num>
  <w:num w:numId="12">
    <w:abstractNumId w:val="16"/>
  </w:num>
  <w:num w:numId="13">
    <w:abstractNumId w:val="5"/>
  </w:num>
  <w:num w:numId="14">
    <w:abstractNumId w:val="36"/>
  </w:num>
  <w:num w:numId="15">
    <w:abstractNumId w:val="36"/>
    <w:lvlOverride w:ilvl="0">
      <w:lvl w:ilvl="0">
        <w:start w:val="2"/>
        <w:numFmt w:val="decimal"/>
        <w:isLgl w:val="false"/>
        <w:suff w:val="tab"/>
        <w:lvlText w:val="2.3.%1. "/>
        <w:legacy w:legacy="1" w:legacyIndent="0" w:legacySpace="0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isLgl w:val="false"/>
        <w:suff w:val="tab"/>
        <w:lvlText w:val="2.%1. "/>
        <w:legacy w:legacy="1" w:legacyIndent="0" w:legacySpace="0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2"/>
  </w:num>
  <w:num w:numId="20">
    <w:abstractNumId w:val="26"/>
  </w:num>
  <w:num w:numId="21">
    <w:abstractNumId w:val="27"/>
  </w:num>
  <w:num w:numId="22">
    <w:abstractNumId w:val="6"/>
  </w:num>
  <w:num w:numId="23">
    <w:abstractNumId w:val="18"/>
  </w:num>
  <w:num w:numId="24">
    <w:abstractNumId w:val="32"/>
  </w:num>
  <w:num w:numId="25">
    <w:abstractNumId w:val="35"/>
  </w:num>
  <w:num w:numId="26">
    <w:abstractNumId w:val="15"/>
  </w:num>
  <w:num w:numId="27">
    <w:abstractNumId w:val="11"/>
  </w:num>
  <w:num w:numId="28">
    <w:abstractNumId w:val="28"/>
  </w:num>
  <w:num w:numId="29">
    <w:abstractNumId w:val="4"/>
  </w:num>
  <w:num w:numId="30">
    <w:abstractNumId w:val="19"/>
  </w:num>
  <w:num w:numId="31">
    <w:abstractNumId w:val="31"/>
  </w:num>
  <w:num w:numId="32">
    <w:abstractNumId w:val="17"/>
  </w:num>
  <w:num w:numId="33">
    <w:abstractNumId w:val="21"/>
  </w:num>
  <w:num w:numId="34">
    <w:abstractNumId w:val="33"/>
  </w:num>
  <w:num w:numId="35">
    <w:abstractNumId w:val="0"/>
  </w:num>
  <w:num w:numId="36">
    <w:abstractNumId w:val="8"/>
  </w:num>
  <w:num w:numId="37">
    <w:abstractNumId w:val="14"/>
  </w:num>
  <w:num w:numId="38">
    <w:abstractNumId w:val="10"/>
  </w:num>
  <w:num w:numId="39">
    <w:abstractNumId w:val="2"/>
  </w:num>
  <w:num w:numId="40">
    <w:abstractNumId w:val="25"/>
  </w:num>
  <w:num w:numId="41">
    <w:abstractNumId w:val="3"/>
  </w:num>
  <w:num w:numId="42">
    <w:abstractNumId w:val="2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4"/>
    <w:next w:val="77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4"/>
    <w:next w:val="77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4"/>
    <w:next w:val="77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4"/>
    <w:next w:val="77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4"/>
    <w:next w:val="77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4"/>
    <w:next w:val="77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4"/>
    <w:next w:val="77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4"/>
    <w:next w:val="77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4"/>
    <w:next w:val="77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7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4"/>
    <w:next w:val="77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74"/>
    <w:next w:val="7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74"/>
    <w:next w:val="7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4"/>
    <w:next w:val="7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7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7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74"/>
    <w:next w:val="77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4"/>
    <w:next w:val="77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4"/>
    <w:next w:val="77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4"/>
    <w:next w:val="77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4"/>
    <w:next w:val="77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4"/>
    <w:next w:val="77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4"/>
    <w:next w:val="77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4"/>
    <w:next w:val="77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4"/>
    <w:next w:val="77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4"/>
    <w:next w:val="774"/>
    <w:uiPriority w:val="99"/>
    <w:unhideWhenUsed/>
    <w:pPr>
      <w:spacing w:after="0" w:afterAutospacing="0"/>
    </w:pPr>
  </w:style>
  <w:style w:type="paragraph" w:styleId="774" w:default="1">
    <w:name w:val="Normal"/>
    <w:next w:val="774"/>
    <w:link w:val="774"/>
    <w:qFormat/>
    <w:rPr>
      <w:sz w:val="26"/>
      <w:lang w:val="ru-RU" w:eastAsia="ru-RU" w:bidi="ar-SA"/>
    </w:rPr>
  </w:style>
  <w:style w:type="paragraph" w:styleId="775">
    <w:name w:val="Заголовок 3"/>
    <w:basedOn w:val="774"/>
    <w:next w:val="774"/>
    <w:link w:val="774"/>
    <w:qFormat/>
    <w:pPr>
      <w:keepNext/>
      <w:outlineLvl w:val="2"/>
    </w:pPr>
    <w:rPr>
      <w:b/>
      <w:sz w:val="24"/>
    </w:rPr>
  </w:style>
  <w:style w:type="paragraph" w:styleId="776">
    <w:name w:val="Заголовок 4"/>
    <w:basedOn w:val="774"/>
    <w:next w:val="774"/>
    <w:link w:val="774"/>
    <w:qFormat/>
    <w:pPr>
      <w:jc w:val="center"/>
      <w:keepNext/>
      <w:outlineLvl w:val="3"/>
    </w:pPr>
    <w:rPr>
      <w:b/>
      <w:sz w:val="16"/>
    </w:rPr>
  </w:style>
  <w:style w:type="character" w:styleId="777">
    <w:name w:val="Основной шрифт абзаца"/>
    <w:next w:val="777"/>
    <w:link w:val="774"/>
    <w:semiHidden/>
  </w:style>
  <w:style w:type="table" w:styleId="778">
    <w:name w:val="Обычная таблица"/>
    <w:next w:val="778"/>
    <w:link w:val="774"/>
    <w:semiHidden/>
    <w:tblPr/>
  </w:style>
  <w:style w:type="numbering" w:styleId="779">
    <w:name w:val="Нет списка"/>
    <w:next w:val="779"/>
    <w:link w:val="774"/>
    <w:semiHidden/>
  </w:style>
  <w:style w:type="paragraph" w:styleId="780">
    <w:name w:val="Верхний колонтитул"/>
    <w:basedOn w:val="774"/>
    <w:next w:val="780"/>
    <w:link w:val="78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781">
    <w:name w:val="Основной текст 3"/>
    <w:basedOn w:val="774"/>
    <w:next w:val="781"/>
    <w:link w:val="774"/>
    <w:pPr>
      <w:jc w:val="center"/>
    </w:pPr>
    <w:rPr>
      <w:b/>
      <w:sz w:val="28"/>
      <w:szCs w:val="24"/>
    </w:rPr>
  </w:style>
  <w:style w:type="paragraph" w:styleId="782">
    <w:name w:val="Название объекта"/>
    <w:basedOn w:val="774"/>
    <w:next w:val="774"/>
    <w:link w:val="774"/>
    <w:qFormat/>
    <w:pPr>
      <w:jc w:val="center"/>
      <w:spacing w:before="120" w:after="240"/>
    </w:pPr>
    <w:rPr>
      <w:b/>
      <w:sz w:val="24"/>
    </w:rPr>
  </w:style>
  <w:style w:type="character" w:styleId="783">
    <w:name w:val="Номер страницы"/>
    <w:basedOn w:val="777"/>
    <w:next w:val="783"/>
    <w:link w:val="774"/>
  </w:style>
  <w:style w:type="paragraph" w:styleId="784">
    <w:name w:val="Текст сноски"/>
    <w:basedOn w:val="774"/>
    <w:next w:val="784"/>
    <w:link w:val="774"/>
    <w:semiHidden/>
    <w:rPr>
      <w:sz w:val="20"/>
    </w:rPr>
  </w:style>
  <w:style w:type="character" w:styleId="785">
    <w:name w:val="Знак сноски"/>
    <w:next w:val="785"/>
    <w:link w:val="774"/>
    <w:semiHidden/>
    <w:rPr>
      <w:vertAlign w:val="superscript"/>
    </w:rPr>
  </w:style>
  <w:style w:type="paragraph" w:styleId="786">
    <w:name w:val="Нижний колонтитул"/>
    <w:basedOn w:val="774"/>
    <w:next w:val="786"/>
    <w:link w:val="774"/>
    <w:pPr>
      <w:tabs>
        <w:tab w:val="center" w:pos="4677" w:leader="none"/>
        <w:tab w:val="right" w:pos="9355" w:leader="none"/>
      </w:tabs>
    </w:pPr>
  </w:style>
  <w:style w:type="paragraph" w:styleId="787">
    <w:name w:val="Текст выноски"/>
    <w:basedOn w:val="774"/>
    <w:next w:val="787"/>
    <w:link w:val="774"/>
    <w:semiHidden/>
    <w:rPr>
      <w:rFonts w:ascii="Tahoma" w:hAnsi="Tahoma" w:cs="Tahoma"/>
      <w:sz w:val="16"/>
      <w:szCs w:val="16"/>
    </w:rPr>
  </w:style>
  <w:style w:type="character" w:styleId="788">
    <w:name w:val="Верхний колонтитул Знак"/>
    <w:next w:val="788"/>
    <w:link w:val="780"/>
    <w:uiPriority w:val="99"/>
    <w:rPr>
      <w:sz w:val="28"/>
      <w:szCs w:val="24"/>
    </w:rPr>
  </w:style>
  <w:style w:type="paragraph" w:styleId="789">
    <w:name w:val="Default"/>
    <w:next w:val="789"/>
    <w:link w:val="774"/>
    <w:rPr>
      <w:color w:val="000000"/>
      <w:sz w:val="24"/>
      <w:szCs w:val="24"/>
      <w:lang w:val="ru-RU" w:eastAsia="ru-RU" w:bidi="ar-SA"/>
    </w:rPr>
  </w:style>
  <w:style w:type="character" w:styleId="790">
    <w:name w:val="Гиперссылка"/>
    <w:next w:val="790"/>
    <w:link w:val="774"/>
    <w:uiPriority w:val="99"/>
    <w:unhideWhenUsed/>
    <w:rPr>
      <w:color w:val="0000ff"/>
      <w:u w:val="single"/>
    </w:rPr>
  </w:style>
  <w:style w:type="paragraph" w:styleId="791">
    <w:name w:val="Абзац списка"/>
    <w:basedOn w:val="774"/>
    <w:next w:val="791"/>
    <w:link w:val="774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799" w:default="1">
    <w:name w:val="Default Paragraph Font"/>
    <w:uiPriority w:val="1"/>
    <w:semiHidden/>
    <w:unhideWhenUsed/>
  </w:style>
  <w:style w:type="numbering" w:styleId="1800" w:default="1">
    <w:name w:val="No List"/>
    <w:uiPriority w:val="99"/>
    <w:semiHidden/>
    <w:unhideWhenUsed/>
  </w:style>
  <w:style w:type="table" w:styleId="18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mns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revision>3</cp:revision>
  <dcterms:created xsi:type="dcterms:W3CDTF">2024-10-15T08:12:00Z</dcterms:created>
  <dcterms:modified xsi:type="dcterms:W3CDTF">2024-10-22T08:34:34Z</dcterms:modified>
  <cp:version>917504</cp:version>
</cp:coreProperties>
</file>